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CFD81">
      <w:pPr>
        <w:keepNext w:val="0"/>
        <w:keepLines w:val="0"/>
        <w:pageBreakBefore w:val="0"/>
        <w:widowControl/>
        <w:kinsoku w:val="0"/>
        <w:wordWrap/>
        <w:overflowPunct/>
        <w:topLinePunct w:val="0"/>
        <w:autoSpaceDE w:val="0"/>
        <w:autoSpaceDN w:val="0"/>
        <w:bidi w:val="0"/>
        <w:adjustRightInd w:val="0"/>
        <w:snapToGrid/>
        <w:spacing w:line="560" w:lineRule="exact"/>
        <w:ind w:right="0"/>
        <w:jc w:val="left"/>
        <w:textAlignment w:val="baseline"/>
        <w:outlineLvl w:val="0"/>
        <w:rPr>
          <w:rFonts w:hint="eastAsia" w:ascii="黑体" w:hAnsi="黑体" w:eastAsia="黑体" w:cs="黑体"/>
          <w:b w:val="0"/>
          <w:bCs w:val="0"/>
          <w:snapToGrid w:val="0"/>
          <w:color w:val="auto"/>
          <w:spacing w:val="21"/>
          <w:kern w:val="0"/>
          <w:sz w:val="32"/>
          <w:szCs w:val="32"/>
          <w:lang w:val="en-US" w:eastAsia="zh-CN" w:bidi="ar-SA"/>
        </w:rPr>
      </w:pPr>
      <w:r>
        <w:rPr>
          <w:rFonts w:hint="eastAsia" w:ascii="黑体" w:hAnsi="黑体" w:eastAsia="黑体" w:cs="黑体"/>
          <w:b w:val="0"/>
          <w:bCs w:val="0"/>
          <w:snapToGrid w:val="0"/>
          <w:color w:val="auto"/>
          <w:spacing w:val="21"/>
          <w:kern w:val="0"/>
          <w:sz w:val="32"/>
          <w:szCs w:val="32"/>
          <w:lang w:val="en-US" w:eastAsia="zh-CN" w:bidi="ar-SA"/>
        </w:rPr>
        <w:t>附件1</w:t>
      </w:r>
    </w:p>
    <w:p w14:paraId="4AC43332">
      <w:pPr>
        <w:keepNext w:val="0"/>
        <w:keepLines w:val="0"/>
        <w:pageBreakBefore w:val="0"/>
        <w:widowControl/>
        <w:kinsoku w:val="0"/>
        <w:wordWrap/>
        <w:overflowPunct/>
        <w:topLinePunct w:val="0"/>
        <w:autoSpaceDE w:val="0"/>
        <w:autoSpaceDN w:val="0"/>
        <w:bidi w:val="0"/>
        <w:adjustRightInd w:val="0"/>
        <w:snapToGrid/>
        <w:spacing w:line="560" w:lineRule="exact"/>
        <w:ind w:right="0"/>
        <w:jc w:val="center"/>
        <w:textAlignment w:val="baseline"/>
        <w:outlineLvl w:val="0"/>
        <w:rPr>
          <w:rFonts w:hint="default" w:ascii="Times New Roman" w:hAnsi="Times New Roman" w:eastAsia="方正仿宋_GB18030" w:cs="Times New Roman"/>
          <w:snapToGrid w:val="0"/>
          <w:color w:val="auto"/>
          <w:spacing w:val="21"/>
          <w:kern w:val="0"/>
          <w:sz w:val="32"/>
          <w:szCs w:val="32"/>
          <w:lang w:val="en-US" w:eastAsia="zh-CN" w:bidi="ar-SA"/>
        </w:rPr>
      </w:pPr>
      <w:r>
        <w:rPr>
          <w:rFonts w:hint="eastAsia" w:ascii="方正公文小标宋" w:hAnsi="方正公文小标宋" w:eastAsia="方正公文小标宋" w:cs="方正公文小标宋"/>
          <w:snapToGrid w:val="0"/>
          <w:color w:val="auto"/>
          <w:spacing w:val="21"/>
          <w:kern w:val="0"/>
          <w:sz w:val="44"/>
          <w:szCs w:val="44"/>
          <w:lang w:val="en-US" w:eastAsia="zh-CN" w:bidi="ar-SA"/>
        </w:rPr>
        <w:t>关于印发《自治区加快推进药品追溯体系建设工作的通知（征求意见稿）》</w:t>
      </w:r>
    </w:p>
    <w:p w14:paraId="688FAA02">
      <w:pPr>
        <w:keepNext w:val="0"/>
        <w:keepLines w:val="0"/>
        <w:pageBreakBefore w:val="0"/>
        <w:widowControl/>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p>
    <w:p w14:paraId="1117F038">
      <w:pPr>
        <w:keepNext w:val="0"/>
        <w:keepLines w:val="0"/>
        <w:pageBreakBefore w:val="0"/>
        <w:widowControl/>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各地、州、市市场监督管理局、卫生健康委、医疗保障局,各药品生产经营企业、使用单位：</w:t>
      </w:r>
    </w:p>
    <w:p w14:paraId="6CDE60A1">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为加快推进全区药品全品种信息化追溯体系建设，持续提升药品监管效能，切实保障人民群众用药安全，根据《中华人民共和国药品管理法》《药品生产监督管理办法》《药品经营和使用质量监督管理办法》有关规定和《国务院办公厅关于全面深化药品医疗器械监管改革促进医药产业高质量发展的意见》（国办发〔2024〕53号）要求，现就加快我区全品种全链条药品追溯体系建设工作通知如下：</w:t>
      </w:r>
    </w:p>
    <w:p w14:paraId="766A702F">
      <w:pPr>
        <w:pStyle w:val="2"/>
        <w:keepNext w:val="0"/>
        <w:keepLines w:val="0"/>
        <w:pageBreakBefore w:val="0"/>
        <w:widowControl w:val="0"/>
        <w:kinsoku w:val="0"/>
        <w:wordWrap/>
        <w:overflowPunct/>
        <w:topLinePunct w:val="0"/>
        <w:autoSpaceDE w:val="0"/>
        <w:autoSpaceDN w:val="0"/>
        <w:bidi w:val="0"/>
        <w:adjustRightInd w:val="0"/>
        <w:snapToGrid/>
        <w:spacing w:line="560" w:lineRule="exact"/>
        <w:ind w:firstLine="744" w:firstLineChars="200"/>
        <w:jc w:val="both"/>
        <w:textAlignment w:val="baseline"/>
        <w:rPr>
          <w:rFonts w:hint="default" w:ascii="Times New Roman" w:hAnsi="Times New Roman" w:eastAsia="黑体" w:cs="Times New Roman"/>
          <w:color w:val="auto"/>
          <w:spacing w:val="26"/>
          <w:sz w:val="32"/>
          <w:szCs w:val="32"/>
        </w:rPr>
      </w:pPr>
      <w:r>
        <w:rPr>
          <w:rFonts w:hint="eastAsia" w:ascii="黑体" w:hAnsi="黑体" w:eastAsia="黑体" w:cs="黑体"/>
          <w:color w:val="auto"/>
          <w:spacing w:val="26"/>
          <w:sz w:val="32"/>
          <w:szCs w:val="32"/>
        </w:rPr>
        <w:t>一、工作目标</w:t>
      </w:r>
    </w:p>
    <w:p w14:paraId="26347A78">
      <w:pPr>
        <w:pStyle w:val="2"/>
        <w:keepNext w:val="0"/>
        <w:keepLines w:val="0"/>
        <w:pageBreakBefore w:val="0"/>
        <w:widowControl w:val="0"/>
        <w:kinsoku w:val="0"/>
        <w:wordWrap/>
        <w:overflowPunct/>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2026年3月1日起，全区药品上市许可持有人、药品生产企业、药品经营企业和使用单位（除二级以下医疗机构和未定级的基层医疗机构外）须建立并实施药品追溯管理制度（中药饮片、中药配方颗粒、医用氧除外，下同），通过信息化手段开展药品信息化追溯系统工作，形成互联互通药品追溯数据链，实现全品种药品生产、流通和使用全过程来源可查、去向可追。到2026年底，全区二级以下医疗机构和未定级的基层医疗机构须达到上述工作要求，完成药品追溯系统建设和追溯信息上传工作。</w:t>
      </w:r>
    </w:p>
    <w:p w14:paraId="48087821">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798"/>
        <w:jc w:val="both"/>
        <w:textAlignment w:val="baseline"/>
        <w:rPr>
          <w:rFonts w:hint="default" w:ascii="Times New Roman" w:hAnsi="Times New Roman" w:eastAsia="黑体" w:cs="Times New Roman"/>
          <w:color w:val="auto"/>
          <w:spacing w:val="26"/>
          <w:sz w:val="32"/>
          <w:szCs w:val="32"/>
        </w:rPr>
      </w:pPr>
      <w:r>
        <w:rPr>
          <w:rFonts w:hint="default" w:ascii="Times New Roman" w:hAnsi="Times New Roman" w:eastAsia="黑体" w:cs="Times New Roman"/>
          <w:color w:val="auto"/>
          <w:spacing w:val="26"/>
          <w:sz w:val="32"/>
          <w:szCs w:val="32"/>
        </w:rPr>
        <w:t>二、</w:t>
      </w:r>
      <w:r>
        <w:rPr>
          <w:rFonts w:hint="eastAsia" w:cs="Times New Roman"/>
          <w:color w:val="auto"/>
          <w:spacing w:val="26"/>
          <w:sz w:val="32"/>
          <w:szCs w:val="32"/>
          <w:lang w:eastAsia="zh-CN"/>
        </w:rPr>
        <w:t>工作</w:t>
      </w:r>
      <w:r>
        <w:rPr>
          <w:rFonts w:hint="default" w:ascii="Times New Roman" w:hAnsi="Times New Roman" w:eastAsia="黑体" w:cs="Times New Roman"/>
          <w:color w:val="auto"/>
          <w:spacing w:val="26"/>
          <w:sz w:val="32"/>
          <w:szCs w:val="32"/>
        </w:rPr>
        <w:t>内容</w:t>
      </w:r>
    </w:p>
    <w:p w14:paraId="23584A4D">
      <w:pPr>
        <w:pStyle w:val="2"/>
        <w:keepNext w:val="0"/>
        <w:keepLines w:val="0"/>
        <w:pageBreakBefore w:val="0"/>
        <w:widowControl w:val="0"/>
        <w:kinsoku w:val="0"/>
        <w:wordWrap/>
        <w:overflowPunct/>
        <w:topLinePunct w:val="0"/>
        <w:autoSpaceDE w:val="0"/>
        <w:autoSpaceDN w:val="0"/>
        <w:bidi w:val="0"/>
        <w:adjustRightInd w:val="0"/>
        <w:snapToGrid/>
        <w:spacing w:line="560" w:lineRule="exact"/>
        <w:ind w:firstLine="744" w:firstLineChars="200"/>
        <w:jc w:val="both"/>
        <w:textAlignment w:val="baseline"/>
        <w:rPr>
          <w:rFonts w:hint="eastAsia" w:ascii="仿宋_GB2312" w:hAnsi="仿宋_GB2312" w:eastAsia="仿宋_GB2312" w:cs="仿宋_GB2312"/>
          <w:color w:val="auto"/>
          <w:spacing w:val="26"/>
          <w:sz w:val="32"/>
          <w:szCs w:val="32"/>
          <w:lang w:eastAsia="zh-CN"/>
        </w:rPr>
      </w:pPr>
      <w:r>
        <w:rPr>
          <w:rFonts w:hint="eastAsia" w:ascii="楷体" w:hAnsi="楷体" w:eastAsia="楷体" w:cs="楷体"/>
          <w:color w:val="auto"/>
          <w:spacing w:val="26"/>
          <w:sz w:val="32"/>
          <w:szCs w:val="32"/>
          <w:lang w:eastAsia="zh-CN"/>
        </w:rPr>
        <w:t>（一）完善药品追溯码备案。</w:t>
      </w:r>
      <w:r>
        <w:rPr>
          <w:rFonts w:hint="eastAsia" w:ascii="仿宋_GB2312" w:hAnsi="仿宋_GB2312" w:eastAsia="仿宋_GB2312" w:cs="仿宋_GB2312"/>
          <w:snapToGrid/>
          <w:color w:val="auto"/>
          <w:kern w:val="2"/>
          <w:sz w:val="32"/>
          <w:szCs w:val="32"/>
          <w:lang w:val="en-US" w:eastAsia="zh-CN" w:bidi="ar-SA"/>
        </w:rPr>
        <w:t>全区药品上市许可持有人（含境外持有人指定的境内责任人）、生产企业结合实际建立药品信息化追溯管理制度，将药品追溯工作纳入企业质量管理体系，明确专门机构和人员，实行有效管理。通过国家药监局政务服务门户登录国家药品追溯协同服务平台，及时、准确、完整备案药品标识码相关信息，完成药品标识码、商品条码、国家药品标识码、本位码、医保编码等多码关联。</w:t>
      </w:r>
    </w:p>
    <w:p w14:paraId="19E85066">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798"/>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楷体" w:hAnsi="楷体" w:eastAsia="楷体" w:cs="楷体"/>
          <w:color w:val="auto"/>
          <w:spacing w:val="26"/>
          <w:sz w:val="32"/>
          <w:szCs w:val="32"/>
          <w:lang w:val="en-US" w:eastAsia="zh-CN"/>
        </w:rPr>
        <w:t>（二）</w:t>
      </w:r>
      <w:r>
        <w:rPr>
          <w:rFonts w:hint="eastAsia" w:ascii="楷体" w:hAnsi="楷体" w:eastAsia="楷体" w:cs="楷体"/>
          <w:color w:val="auto"/>
          <w:spacing w:val="26"/>
          <w:sz w:val="32"/>
          <w:szCs w:val="32"/>
          <w:lang w:eastAsia="zh-CN"/>
        </w:rPr>
        <w:t>加强生产环节赋码。</w:t>
      </w:r>
      <w:r>
        <w:rPr>
          <w:rFonts w:hint="eastAsia" w:ascii="仿宋_GB2312" w:hAnsi="仿宋_GB2312" w:eastAsia="仿宋_GB2312" w:cs="仿宋_GB2312"/>
          <w:snapToGrid/>
          <w:color w:val="auto"/>
          <w:kern w:val="2"/>
          <w:sz w:val="32"/>
          <w:szCs w:val="32"/>
          <w:lang w:val="en-US" w:eastAsia="zh-CN" w:bidi="ar-SA"/>
        </w:rPr>
        <w:t>持有人、药品生产企业药品要按照“一物一码，物码同追”的原则，开展全品种追溯码赋码激活、各级包装单元追溯码关联、及时上传追溯信息等工作，保障药品各级包装单元追溯码格式规范、关联准确，可追溯、可核查。自2026年3月1日起，所有品种实现赋码工作。医用氧产品因其外包重复使用的装特殊性，不进行赋码。中药饮片、中药配方颗粒赋码时间另行通知。</w:t>
      </w:r>
    </w:p>
    <w:p w14:paraId="1AC3E95F">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798"/>
        <w:jc w:val="both"/>
        <w:textAlignment w:val="baseline"/>
        <w:rPr>
          <w:rFonts w:hint="eastAsia" w:ascii="仿宋_GB2312" w:hAnsi="仿宋_GB2312" w:eastAsia="仿宋_GB2312" w:cs="仿宋_GB2312"/>
          <w:snapToGrid/>
          <w:color w:val="FF0000"/>
          <w:kern w:val="2"/>
          <w:sz w:val="32"/>
          <w:szCs w:val="32"/>
          <w:lang w:val="en-US" w:eastAsia="zh-CN" w:bidi="ar-SA"/>
        </w:rPr>
      </w:pPr>
      <w:r>
        <w:rPr>
          <w:rFonts w:hint="eastAsia" w:ascii="楷体" w:hAnsi="楷体" w:eastAsia="楷体" w:cs="楷体"/>
          <w:color w:val="auto"/>
          <w:spacing w:val="26"/>
          <w:sz w:val="32"/>
          <w:szCs w:val="32"/>
          <w:lang w:val="en-US" w:eastAsia="zh-CN"/>
        </w:rPr>
        <w:t>（三）</w:t>
      </w:r>
      <w:r>
        <w:rPr>
          <w:rFonts w:hint="eastAsia" w:ascii="楷体" w:hAnsi="楷体" w:eastAsia="楷体" w:cs="楷体"/>
          <w:color w:val="auto"/>
          <w:spacing w:val="26"/>
          <w:sz w:val="32"/>
          <w:szCs w:val="32"/>
          <w:lang w:eastAsia="zh-CN"/>
        </w:rPr>
        <w:t>规范经营使用环节扫码。</w:t>
      </w:r>
      <w:r>
        <w:rPr>
          <w:rFonts w:hint="eastAsia" w:ascii="仿宋_GB2312" w:hAnsi="仿宋_GB2312" w:eastAsia="仿宋_GB2312" w:cs="仿宋_GB2312"/>
          <w:snapToGrid/>
          <w:color w:val="auto"/>
          <w:kern w:val="2"/>
          <w:sz w:val="32"/>
          <w:szCs w:val="32"/>
          <w:lang w:val="en-US" w:eastAsia="zh-CN" w:bidi="ar-SA"/>
        </w:rPr>
        <w:t>药品经营企业和使用单位应当配合持有人、境内责任人、生产企业建设追溯系统，并将相应追溯信息上传到追溯系统。自2026年3月1日起，在采购药品时，药品经营企业和使用单位向上游企业索取所有品种追溯信息，在药品验收时进行扫码核对，并将核对信息反馈上游企业；在销售药品时，药品经营企业需向下游企业提供发货信息，及时上传所有品种追溯信息；在使用药品时，药品使用单位对所有品种按照销售包装扫描追溯码，更新药品状态。开展委托储运的药品批发企业和零售连锁总部对实施药品信息化追溯管理工作承担主体责任，要监督受托方严格开展扫码追溯工作并实时掌握追溯信息。医疗机构要延伸麻精药品追溯管理，从药库向住院药房发放药品时，应按照销售包装扫描追溯码更新药品状态；门诊药房在销售麻精药品时，通过扫码设备扫描追溯码并核验患者身份证，更新药品状态，做到追溯到人。</w:t>
      </w:r>
    </w:p>
    <w:p w14:paraId="7F2A0DC7">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744" w:firstLineChars="20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楷体" w:hAnsi="楷体" w:eastAsia="楷体" w:cs="楷体"/>
          <w:color w:val="auto"/>
          <w:spacing w:val="26"/>
          <w:sz w:val="32"/>
          <w:szCs w:val="32"/>
          <w:lang w:val="en-US" w:eastAsia="zh-CN"/>
        </w:rPr>
        <w:t>（四）</w:t>
      </w:r>
      <w:r>
        <w:rPr>
          <w:rFonts w:hint="eastAsia" w:ascii="楷体" w:hAnsi="楷体" w:eastAsia="楷体" w:cs="楷体"/>
          <w:color w:val="auto"/>
          <w:spacing w:val="26"/>
          <w:sz w:val="32"/>
          <w:szCs w:val="32"/>
          <w:lang w:eastAsia="zh-CN"/>
        </w:rPr>
        <w:t>加强追溯工作质量管理。</w:t>
      </w:r>
      <w:r>
        <w:rPr>
          <w:rFonts w:hint="eastAsia" w:ascii="仿宋_GB2312" w:hAnsi="仿宋_GB2312" w:eastAsia="仿宋_GB2312" w:cs="仿宋_GB2312"/>
          <w:snapToGrid/>
          <w:color w:val="auto"/>
          <w:kern w:val="2"/>
          <w:sz w:val="32"/>
          <w:szCs w:val="32"/>
          <w:lang w:val="en-US" w:eastAsia="zh-CN" w:bidi="ar-SA"/>
        </w:rPr>
        <w:t>持有人、药品生产企业、药品经营企业及使用单位应主动开展药品追溯体系建设，通过自建或者第三方药品追溯系统主动收集全品种全链条追溯信息；药品经营企业及使用单位应配合持有人、境内责任人、生产企业建立追溯制度、提供追溯信息。相关各方应将药品追溯工作纳入质量管理体系，定期对各级销售包装单元赋码情况（包括是否存在重复赋码、重复激活、关联关系错误等）、追溯数据上传情况进行核查核验，对追溯系统中追溯码激活、上下游追溯数据验证匹配、进销存平衡等风险预警信息及时核实处置，确保本企业/单位追溯信息准确、追溯链条畅通。药品追溯系统运营单位应提升追溯系统服务能力，通过技术手段帮助企业规范追溯操作。</w:t>
      </w:r>
    </w:p>
    <w:p w14:paraId="57F4DEA1">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744" w:firstLineChars="200"/>
        <w:jc w:val="left"/>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楷体" w:hAnsi="楷体" w:eastAsia="楷体" w:cs="楷体"/>
          <w:color w:val="auto"/>
          <w:spacing w:val="26"/>
          <w:sz w:val="32"/>
          <w:szCs w:val="32"/>
          <w:lang w:val="en-US" w:eastAsia="zh-CN"/>
        </w:rPr>
        <w:t>（五）稳妥做好未赋码药品的清理。</w:t>
      </w:r>
      <w:r>
        <w:rPr>
          <w:rFonts w:hint="eastAsia" w:ascii="仿宋_GB2312" w:hAnsi="仿宋_GB2312" w:eastAsia="仿宋_GB2312" w:cs="仿宋_GB2312"/>
          <w:snapToGrid/>
          <w:color w:val="auto"/>
          <w:kern w:val="2"/>
          <w:sz w:val="32"/>
          <w:szCs w:val="32"/>
          <w:lang w:val="en-US" w:eastAsia="zh-CN" w:bidi="ar-SA"/>
        </w:rPr>
        <w:t>药品经营企业要稳妥做好历史库存未赋追溯码药品的清理并实行专区存放、专帐登记、专项核验等管理。对历史库存未赋码药品，需协调供货单位完成药品追溯码补录，逾期未补录的需联系供货商退回。清理工作应于2026年2月底前完成，自2026年3月1日起，不得购进未赋码及赋码未激活的药品，其他未赋码的药品不得进入我区药品经营使用环节。药品生产、经营和使用单位要做好保存追溯相关数据，积极配合向药品监管部门和医保部门提供药品追溯数据，当发生质量安全问题和风险时，依托药品追溯系统，完整记录药品召回流向信息，不得随意更改、变动或删除信息。</w:t>
      </w:r>
    </w:p>
    <w:p w14:paraId="3D8428BA">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372" w:firstLineChars="100"/>
        <w:jc w:val="both"/>
        <w:textAlignment w:val="baseline"/>
        <w:rPr>
          <w:rFonts w:hint="eastAsia" w:ascii="仿宋_GB2312" w:hAnsi="仿宋_GB2312" w:eastAsia="仿宋_GB2312" w:cs="仿宋_GB2312"/>
          <w:color w:val="auto"/>
          <w:spacing w:val="26"/>
          <w:sz w:val="32"/>
          <w:szCs w:val="32"/>
        </w:rPr>
      </w:pPr>
      <w:r>
        <w:rPr>
          <w:rFonts w:hint="eastAsia" w:ascii="楷体" w:hAnsi="楷体" w:eastAsia="楷体" w:cs="楷体"/>
          <w:color w:val="auto"/>
          <w:spacing w:val="26"/>
          <w:sz w:val="32"/>
          <w:szCs w:val="32"/>
          <w:lang w:eastAsia="zh-CN"/>
        </w:rPr>
        <w:t>（六）推进数智技术在药品追溯中应用。</w:t>
      </w:r>
      <w:r>
        <w:rPr>
          <w:rFonts w:hint="eastAsia" w:ascii="仿宋_GB2312" w:hAnsi="仿宋_GB2312" w:eastAsia="仿宋_GB2312" w:cs="仿宋_GB2312"/>
          <w:snapToGrid/>
          <w:color w:val="auto"/>
          <w:kern w:val="2"/>
          <w:sz w:val="32"/>
          <w:szCs w:val="32"/>
          <w:lang w:val="en-US" w:eastAsia="zh-CN" w:bidi="ar-SA"/>
        </w:rPr>
        <w:t>鼓励有关单位加快在药品追溯体系中应用数智技术，采用支持多码采集的扫码设备，利用新技术新方法支持多码合一、多追溯系统合一等方式，实现企业资源计划管理系统（ERP）、仓储管理系统（WMS）、供应链管理系统（SCM）等业务管理系统的数智化转型，加强与药品追溯系统深度融合，提升企业管理效率和合规管理水平，推动医药行业数智化转型。</w:t>
      </w:r>
    </w:p>
    <w:p w14:paraId="4AC1E2BF">
      <w:pPr>
        <w:pStyle w:val="2"/>
        <w:keepNext w:val="0"/>
        <w:keepLines w:val="0"/>
        <w:pageBreakBefore w:val="0"/>
        <w:widowControl/>
        <w:numPr>
          <w:ilvl w:val="0"/>
          <w:numId w:val="1"/>
        </w:numPr>
        <w:kinsoku w:val="0"/>
        <w:wordWrap/>
        <w:overflowPunct/>
        <w:topLinePunct w:val="0"/>
        <w:autoSpaceDE w:val="0"/>
        <w:autoSpaceDN w:val="0"/>
        <w:bidi w:val="0"/>
        <w:adjustRightInd w:val="0"/>
        <w:snapToGrid/>
        <w:spacing w:line="560" w:lineRule="exact"/>
        <w:ind w:firstLine="798"/>
        <w:jc w:val="both"/>
        <w:textAlignment w:val="baseline"/>
        <w:rPr>
          <w:rFonts w:hint="eastAsia" w:ascii="Times New Roman" w:hAnsi="Times New Roman" w:eastAsia="黑体" w:cs="Times New Roman"/>
          <w:color w:val="auto"/>
          <w:spacing w:val="26"/>
          <w:sz w:val="32"/>
          <w:szCs w:val="32"/>
        </w:rPr>
      </w:pPr>
      <w:r>
        <w:rPr>
          <w:rFonts w:hint="eastAsia" w:ascii="Times New Roman" w:hAnsi="Times New Roman" w:eastAsia="黑体" w:cs="Times New Roman"/>
          <w:color w:val="auto"/>
          <w:spacing w:val="26"/>
          <w:sz w:val="32"/>
          <w:szCs w:val="32"/>
          <w:lang w:eastAsia="zh-CN"/>
        </w:rPr>
        <w:t>部门</w:t>
      </w:r>
      <w:r>
        <w:rPr>
          <w:rFonts w:hint="eastAsia" w:ascii="Times New Roman" w:hAnsi="Times New Roman" w:eastAsia="黑体" w:cs="Times New Roman"/>
          <w:color w:val="auto"/>
          <w:spacing w:val="26"/>
          <w:sz w:val="32"/>
          <w:szCs w:val="32"/>
        </w:rPr>
        <w:t>工作分工</w:t>
      </w:r>
    </w:p>
    <w:p w14:paraId="7DFBB4A1">
      <w:pPr>
        <w:pStyle w:val="2"/>
        <w:keepNext w:val="0"/>
        <w:keepLines w:val="0"/>
        <w:pageBreakBefore w:val="0"/>
        <w:widowControl/>
        <w:numPr>
          <w:ilvl w:val="0"/>
          <w:numId w:val="0"/>
        </w:numPr>
        <w:kinsoku w:val="0"/>
        <w:wordWrap/>
        <w:overflowPunct/>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楷体" w:hAnsi="楷体" w:eastAsia="楷体" w:cs="楷体"/>
          <w:b w:val="0"/>
          <w:bCs w:val="0"/>
          <w:i w:val="0"/>
          <w:caps w:val="0"/>
          <w:color w:val="auto"/>
          <w:spacing w:val="0"/>
          <w:sz w:val="32"/>
          <w:szCs w:val="32"/>
          <w:shd w:val="clear" w:color="auto" w:fill="FFFFFF"/>
          <w:lang w:eastAsia="zh-CN"/>
        </w:rPr>
        <w:t>（一）</w:t>
      </w:r>
      <w:r>
        <w:rPr>
          <w:rFonts w:hint="eastAsia" w:ascii="仿宋_GB2312" w:hAnsi="仿宋_GB2312" w:eastAsia="仿宋_GB2312" w:cs="仿宋_GB2312"/>
          <w:b/>
          <w:bCs/>
          <w:i w:val="0"/>
          <w:caps w:val="0"/>
          <w:color w:val="auto"/>
          <w:spacing w:val="0"/>
          <w:sz w:val="32"/>
          <w:szCs w:val="32"/>
          <w:shd w:val="clear" w:color="auto" w:fill="FFFFFF"/>
          <w:lang w:eastAsia="zh-CN"/>
        </w:rPr>
        <w:t>自治区药监局</w:t>
      </w:r>
      <w:r>
        <w:rPr>
          <w:rFonts w:hint="eastAsia" w:ascii="仿宋_GB2312" w:hAnsi="仿宋_GB2312" w:eastAsia="仿宋_GB2312" w:cs="仿宋_GB2312"/>
          <w:snapToGrid/>
          <w:color w:val="auto"/>
          <w:kern w:val="2"/>
          <w:sz w:val="32"/>
          <w:szCs w:val="32"/>
          <w:lang w:val="en-US" w:eastAsia="zh-CN" w:bidi="ar-SA"/>
        </w:rPr>
        <w:t>负责统筹推进药品生产、经营企业药品追溯体系建设工作政策指导和监督检查，督促药品批发企业、零售连锁总部按时限要求，开展药品追溯系统完善和追溯信息上传工作。指导各级药品监管部门开展日常监督执法，组织对未依法履行药品追溯责任的辖区内药品上市许可持有人（含境外药品上市许可持有人指定的境内责任人）和生产企业、药品经营企业和使用单位，依据《中华人民共和国药品管理法》第一百二十七条的规定，依法予以查处。</w:t>
      </w:r>
      <w:r>
        <w:rPr>
          <w:rFonts w:hint="eastAsia" w:ascii="仿宋_GB2312" w:hAnsi="仿宋_GB2312" w:eastAsia="仿宋_GB2312" w:cs="仿宋_GB2312"/>
          <w:b/>
          <w:bCs/>
          <w:i w:val="0"/>
          <w:caps w:val="0"/>
          <w:color w:val="auto"/>
          <w:spacing w:val="0"/>
          <w:sz w:val="32"/>
          <w:szCs w:val="32"/>
          <w:shd w:val="clear" w:color="auto" w:fill="FFFFFF"/>
          <w:lang w:val="en-US" w:eastAsia="zh-CN"/>
        </w:rPr>
        <w:t>各级药品</w:t>
      </w:r>
      <w:r>
        <w:rPr>
          <w:rFonts w:hint="eastAsia" w:ascii="仿宋_GB2312" w:hAnsi="仿宋_GB2312" w:eastAsia="仿宋_GB2312" w:cs="仿宋_GB2312"/>
          <w:b/>
          <w:bCs/>
          <w:i w:val="0"/>
          <w:caps w:val="0"/>
          <w:color w:val="auto"/>
          <w:spacing w:val="0"/>
          <w:sz w:val="32"/>
          <w:szCs w:val="32"/>
          <w:shd w:val="clear" w:color="auto" w:fill="FFFFFF"/>
          <w:lang w:eastAsia="zh-CN"/>
        </w:rPr>
        <w:t>监管部门</w:t>
      </w:r>
      <w:r>
        <w:rPr>
          <w:rFonts w:hint="eastAsia" w:ascii="仿宋_GB2312" w:hAnsi="仿宋_GB2312" w:eastAsia="仿宋_GB2312" w:cs="仿宋_GB2312"/>
          <w:snapToGrid/>
          <w:color w:val="auto"/>
          <w:kern w:val="2"/>
          <w:sz w:val="32"/>
          <w:szCs w:val="32"/>
          <w:lang w:val="en-US" w:eastAsia="zh-CN" w:bidi="ar-SA"/>
        </w:rPr>
        <w:t>依职责对辖区内药品经营企业和医疗机构的信息化追溯体系建设情况开展日常监管，对未按要求实施追溯的相关单位依法进行查处。</w:t>
      </w:r>
    </w:p>
    <w:p w14:paraId="28FA5221">
      <w:pPr>
        <w:pStyle w:val="2"/>
        <w:keepNext w:val="0"/>
        <w:keepLines w:val="0"/>
        <w:pageBreakBefore w:val="0"/>
        <w:widowControl/>
        <w:numPr>
          <w:ilvl w:val="0"/>
          <w:numId w:val="0"/>
        </w:numPr>
        <w:kinsoku w:val="0"/>
        <w:wordWrap/>
        <w:overflowPunct/>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楷体" w:hAnsi="楷体" w:eastAsia="楷体" w:cs="楷体"/>
          <w:b w:val="0"/>
          <w:bCs w:val="0"/>
          <w:i w:val="0"/>
          <w:caps w:val="0"/>
          <w:color w:val="auto"/>
          <w:spacing w:val="0"/>
          <w:sz w:val="32"/>
          <w:szCs w:val="32"/>
          <w:shd w:val="clear" w:color="auto" w:fill="FFFFFF"/>
          <w:lang w:val="en-US" w:eastAsia="zh-CN"/>
        </w:rPr>
        <w:t>（二）</w:t>
      </w:r>
      <w:r>
        <w:rPr>
          <w:rFonts w:hint="eastAsia" w:ascii="仿宋_GB2312" w:hAnsi="仿宋_GB2312" w:eastAsia="仿宋_GB2312" w:cs="仿宋_GB2312"/>
          <w:b/>
          <w:bCs/>
          <w:i w:val="0"/>
          <w:caps w:val="0"/>
          <w:color w:val="auto"/>
          <w:spacing w:val="0"/>
          <w:sz w:val="32"/>
          <w:szCs w:val="32"/>
          <w:shd w:val="clear" w:color="auto" w:fill="FFFFFF"/>
          <w:lang w:val="en-US" w:eastAsia="zh-CN"/>
        </w:rPr>
        <w:t>自治区卫生健康委</w:t>
      </w:r>
      <w:r>
        <w:rPr>
          <w:rFonts w:hint="eastAsia" w:ascii="仿宋_GB2312" w:hAnsi="仿宋_GB2312" w:eastAsia="仿宋_GB2312" w:cs="仿宋_GB2312"/>
          <w:snapToGrid/>
          <w:color w:val="auto"/>
          <w:kern w:val="2"/>
          <w:sz w:val="32"/>
          <w:szCs w:val="32"/>
          <w:lang w:val="en-US" w:eastAsia="zh-CN" w:bidi="ar-SA"/>
        </w:rPr>
        <w:t>负责推进医疗机构药品使用环节信息化追溯体系工作建设，指导医疗机构积极做好药品追溯码采集规范应用工作。督促医疗机构落实追溯主体责任，对开展药品追溯情况纳入医疗机构等级评定等考核项目中。配合同级药品监管部门对未按要求开展追溯工作的医疗机构依法进行查处。</w:t>
      </w:r>
      <w:r>
        <w:rPr>
          <w:rFonts w:hint="eastAsia" w:ascii="仿宋_GB2312" w:hAnsi="仿宋_GB2312" w:eastAsia="仿宋_GB2312" w:cs="仿宋_GB2312"/>
          <w:b/>
          <w:bCs/>
          <w:color w:val="auto"/>
          <w:spacing w:val="26"/>
          <w:sz w:val="32"/>
          <w:szCs w:val="32"/>
        </w:rPr>
        <w:t>各级卫生健康部门</w:t>
      </w:r>
      <w:r>
        <w:rPr>
          <w:rFonts w:hint="eastAsia" w:ascii="仿宋_GB2312" w:hAnsi="仿宋_GB2312" w:eastAsia="仿宋_GB2312" w:cs="仿宋_GB2312"/>
          <w:b w:val="0"/>
          <w:bCs w:val="0"/>
          <w:snapToGrid/>
          <w:color w:val="auto"/>
          <w:kern w:val="2"/>
          <w:sz w:val="32"/>
          <w:szCs w:val="32"/>
          <w:lang w:val="en-US" w:eastAsia="zh-CN" w:bidi="ar-SA"/>
        </w:rPr>
        <w:t>负责督促辖区内所有医疗机构按照要求开展</w:t>
      </w:r>
      <w:r>
        <w:rPr>
          <w:rFonts w:hint="eastAsia" w:ascii="仿宋_GB2312" w:hAnsi="仿宋_GB2312" w:eastAsia="仿宋_GB2312" w:cs="仿宋_GB2312"/>
          <w:snapToGrid/>
          <w:color w:val="auto"/>
          <w:kern w:val="2"/>
          <w:sz w:val="32"/>
          <w:szCs w:val="32"/>
          <w:lang w:val="en-US" w:eastAsia="zh-CN" w:bidi="ar-SA"/>
        </w:rPr>
        <w:t>追溯体系建设，指导医疗机构积极做好药品信息化工作，配合同级药监部门对不按照要求开展追溯工作的医疗机构依法进行查处。</w:t>
      </w:r>
    </w:p>
    <w:p w14:paraId="79110397">
      <w:pPr>
        <w:pStyle w:val="2"/>
        <w:keepNext w:val="0"/>
        <w:keepLines w:val="0"/>
        <w:pageBreakBefore w:val="0"/>
        <w:widowControl/>
        <w:numPr>
          <w:ilvl w:val="0"/>
          <w:numId w:val="0"/>
        </w:numPr>
        <w:kinsoku w:val="0"/>
        <w:wordWrap/>
        <w:overflowPunct/>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楷体" w:hAnsi="楷体" w:eastAsia="楷体" w:cs="楷体"/>
          <w:b w:val="0"/>
          <w:bCs w:val="0"/>
          <w:i w:val="0"/>
          <w:caps w:val="0"/>
          <w:color w:val="auto"/>
          <w:spacing w:val="0"/>
          <w:sz w:val="32"/>
          <w:szCs w:val="32"/>
          <w:shd w:val="clear" w:color="auto" w:fill="FFFFFF"/>
          <w:lang w:val="en-US" w:eastAsia="zh-CN"/>
        </w:rPr>
        <w:t>（三）</w:t>
      </w:r>
      <w:r>
        <w:rPr>
          <w:rFonts w:hint="eastAsia" w:ascii="仿宋_GB2312" w:hAnsi="仿宋_GB2312" w:eastAsia="仿宋_GB2312" w:cs="仿宋_GB2312"/>
          <w:b/>
          <w:bCs/>
          <w:i w:val="0"/>
          <w:caps w:val="0"/>
          <w:color w:val="auto"/>
          <w:spacing w:val="0"/>
          <w:sz w:val="32"/>
          <w:szCs w:val="32"/>
          <w:shd w:val="clear" w:color="auto" w:fill="FFFFFF"/>
          <w:lang w:val="en-US" w:eastAsia="zh-CN"/>
        </w:rPr>
        <w:t>自治区医保局</w:t>
      </w:r>
      <w:r>
        <w:rPr>
          <w:rFonts w:hint="eastAsia" w:ascii="仿宋_GB2312" w:hAnsi="仿宋_GB2312" w:eastAsia="仿宋_GB2312" w:cs="仿宋_GB2312"/>
          <w:snapToGrid/>
          <w:color w:val="auto"/>
          <w:kern w:val="2"/>
          <w:sz w:val="32"/>
          <w:szCs w:val="32"/>
          <w:lang w:val="en-US" w:eastAsia="zh-CN" w:bidi="ar-SA"/>
        </w:rPr>
        <w:t>负责医保定点医药机构在药品流通环节和结算环节准确采集、核验药品追溯码,实时上传药品追溯码信息；对定点医药机构未落实追溯码采集要求、虚假上传、串换上传等情形，按情节轻重予以协议处理、行政处理等。配合同级药品监管部门对未按规定上传追溯数据的定点医疗机构依法进行处理。</w:t>
      </w:r>
      <w:r>
        <w:rPr>
          <w:rFonts w:hint="eastAsia" w:ascii="仿宋_GB2312" w:hAnsi="仿宋_GB2312" w:eastAsia="仿宋_GB2312" w:cs="仿宋_GB2312"/>
          <w:b/>
          <w:bCs/>
          <w:color w:val="auto"/>
          <w:spacing w:val="26"/>
          <w:sz w:val="32"/>
          <w:szCs w:val="32"/>
        </w:rPr>
        <w:t>各级医保部门</w:t>
      </w:r>
      <w:r>
        <w:rPr>
          <w:rFonts w:hint="eastAsia" w:ascii="仿宋_GB2312" w:hAnsi="仿宋_GB2312" w:eastAsia="仿宋_GB2312" w:cs="仿宋_GB2312"/>
          <w:snapToGrid/>
          <w:color w:val="auto"/>
          <w:kern w:val="2"/>
          <w:sz w:val="32"/>
          <w:szCs w:val="32"/>
          <w:lang w:val="en-US" w:eastAsia="zh-CN" w:bidi="ar-SA"/>
        </w:rPr>
        <w:t>负责督促医保定点医药机构进行医保结算药品追溯码信息采集上传，配合同级药监部门对未按照要求上传药品追溯码信息的依法进行处理。各医保定点医药机构要按照要求保存药品追溯信息，向医保部门、药品监管部门提供药品追溯数据，发生药品质量安全问题和风险时，配合药品持有人、药品生产企业、医疗机构及上游供货企业，记录并提供药品召回流向信息。</w:t>
      </w:r>
    </w:p>
    <w:p w14:paraId="2ECE8A08">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798"/>
        <w:jc w:val="both"/>
        <w:textAlignment w:val="baseline"/>
        <w:rPr>
          <w:rFonts w:hint="default" w:ascii="Times New Roman" w:hAnsi="Times New Roman" w:eastAsia="黑体" w:cs="Times New Roman"/>
          <w:color w:val="auto"/>
          <w:spacing w:val="26"/>
          <w:sz w:val="32"/>
          <w:szCs w:val="32"/>
        </w:rPr>
      </w:pPr>
      <w:r>
        <w:rPr>
          <w:rFonts w:hint="default" w:ascii="Times New Roman" w:hAnsi="Times New Roman" w:eastAsia="黑体" w:cs="Times New Roman"/>
          <w:color w:val="auto"/>
          <w:spacing w:val="26"/>
          <w:sz w:val="32"/>
          <w:szCs w:val="32"/>
        </w:rPr>
        <w:t>四、工作要求</w:t>
      </w:r>
    </w:p>
    <w:p w14:paraId="151E1D07">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798"/>
        <w:jc w:val="both"/>
        <w:textAlignment w:val="baseline"/>
        <w:rPr>
          <w:rFonts w:hint="eastAsia" w:ascii="仿宋_GB2312" w:hAnsi="仿宋_GB2312" w:eastAsia="仿宋_GB2312" w:cs="仿宋_GB2312"/>
          <w:snapToGrid/>
          <w:color w:val="auto"/>
          <w:spacing w:val="26"/>
          <w:kern w:val="2"/>
          <w:sz w:val="32"/>
          <w:szCs w:val="32"/>
          <w:lang w:val="en-US" w:eastAsia="zh-CN" w:bidi="ar-SA"/>
        </w:rPr>
      </w:pPr>
      <w:r>
        <w:rPr>
          <w:rFonts w:hint="eastAsia" w:ascii="Times New Roman" w:hAnsi="Times New Roman" w:eastAsia="楷体" w:cs="Times New Roman"/>
          <w:color w:val="auto"/>
          <w:spacing w:val="26"/>
          <w:sz w:val="32"/>
          <w:szCs w:val="32"/>
          <w:lang w:eastAsia="zh-CN"/>
        </w:rPr>
        <w:t>（</w:t>
      </w:r>
      <w:r>
        <w:rPr>
          <w:rFonts w:hint="default" w:ascii="Times New Roman" w:hAnsi="Times New Roman" w:eastAsia="楷体" w:cs="Times New Roman"/>
          <w:color w:val="auto"/>
          <w:spacing w:val="26"/>
          <w:sz w:val="32"/>
          <w:szCs w:val="32"/>
        </w:rPr>
        <w:t>一</w:t>
      </w:r>
      <w:r>
        <w:rPr>
          <w:rFonts w:hint="eastAsia" w:ascii="Times New Roman" w:hAnsi="Times New Roman" w:eastAsia="楷体" w:cs="Times New Roman"/>
          <w:color w:val="auto"/>
          <w:spacing w:val="26"/>
          <w:sz w:val="32"/>
          <w:szCs w:val="32"/>
          <w:lang w:eastAsia="zh-CN"/>
        </w:rPr>
        <w:t>）</w:t>
      </w:r>
      <w:r>
        <w:rPr>
          <w:rFonts w:hint="default" w:ascii="楷体" w:hAnsi="楷体" w:eastAsia="楷体" w:cs="楷体"/>
          <w:snapToGrid w:val="0"/>
          <w:color w:val="auto"/>
          <w:spacing w:val="12"/>
          <w:kern w:val="0"/>
          <w:sz w:val="31"/>
          <w:szCs w:val="31"/>
          <w:lang w:val="en-US" w:eastAsia="en-US" w:bidi="ar-SA"/>
        </w:rPr>
        <w:t>加强组织领导</w:t>
      </w:r>
      <w:r>
        <w:rPr>
          <w:rFonts w:hint="eastAsia" w:ascii="楷体" w:hAnsi="楷体" w:eastAsia="楷体" w:cs="楷体"/>
          <w:snapToGrid w:val="0"/>
          <w:color w:val="auto"/>
          <w:spacing w:val="12"/>
          <w:kern w:val="0"/>
          <w:sz w:val="31"/>
          <w:szCs w:val="31"/>
          <w:lang w:val="en-US" w:eastAsia="zh-CN" w:bidi="ar-SA"/>
        </w:rPr>
        <w:t>，</w:t>
      </w:r>
      <w:r>
        <w:rPr>
          <w:rFonts w:hint="eastAsia" w:ascii="楷体" w:hAnsi="楷体" w:eastAsia="楷体" w:cs="楷体"/>
          <w:snapToGrid w:val="0"/>
          <w:color w:val="auto"/>
          <w:spacing w:val="12"/>
          <w:kern w:val="0"/>
          <w:sz w:val="31"/>
          <w:szCs w:val="31"/>
          <w:lang w:val="en-US" w:eastAsia="en-US" w:bidi="ar-SA"/>
        </w:rPr>
        <w:t>提高政治站位</w:t>
      </w:r>
      <w:r>
        <w:rPr>
          <w:rFonts w:hint="default" w:ascii="楷体" w:hAnsi="楷体" w:eastAsia="楷体" w:cs="楷体"/>
          <w:snapToGrid w:val="0"/>
          <w:color w:val="auto"/>
          <w:spacing w:val="12"/>
          <w:kern w:val="0"/>
          <w:sz w:val="31"/>
          <w:szCs w:val="31"/>
          <w:lang w:val="en-US" w:eastAsia="en-US" w:bidi="ar-SA"/>
        </w:rPr>
        <w:t>。</w:t>
      </w:r>
      <w:r>
        <w:rPr>
          <w:rFonts w:hint="eastAsia" w:ascii="仿宋_GB2312" w:hAnsi="仿宋_GB2312" w:eastAsia="仿宋_GB2312" w:cs="仿宋_GB2312"/>
          <w:snapToGrid/>
          <w:color w:val="auto"/>
          <w:kern w:val="2"/>
          <w:sz w:val="32"/>
          <w:szCs w:val="32"/>
          <w:lang w:val="en-US" w:eastAsia="zh-CN" w:bidi="ar-SA"/>
        </w:rPr>
        <w:t>各级药品监管部门、卫生健康管理部门、医保部门要高度重视，按照工作职责，加快部署和推进所承担的药品信息化追溯体系建设具体工作。指导督促辖区内药品生产、经营和使用单位开展全品种全环节药品追溯扫码工作，确保2026年3月底前完成建设任务。对未按照要求建立追溯系统、追溯系统不能有效运行的，依照相关法律法规等规定予以查处。</w:t>
      </w:r>
    </w:p>
    <w:p w14:paraId="7B037E0B">
      <w:pPr>
        <w:keepNext w:val="0"/>
        <w:keepLines w:val="0"/>
        <w:pageBreakBefore w:val="0"/>
        <w:widowControl/>
        <w:kinsoku/>
        <w:wordWrap/>
        <w:overflowPunct/>
        <w:topLinePunct w:val="0"/>
        <w:autoSpaceDE/>
        <w:autoSpaceDN/>
        <w:bidi w:val="0"/>
        <w:adjustRightInd w:val="0"/>
        <w:snapToGrid/>
        <w:spacing w:line="560" w:lineRule="exact"/>
        <w:ind w:firstLine="668"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楷体" w:hAnsi="楷体" w:eastAsia="楷体" w:cs="楷体"/>
          <w:color w:val="auto"/>
          <w:spacing w:val="12"/>
          <w:sz w:val="31"/>
          <w:szCs w:val="31"/>
          <w:lang w:val="en-US" w:eastAsia="zh-CN"/>
        </w:rPr>
        <w:t>（二）落实企业主体，确保履行其责任。</w:t>
      </w:r>
      <w:r>
        <w:rPr>
          <w:rFonts w:hint="eastAsia" w:ascii="仿宋_GB2312" w:hAnsi="仿宋_GB2312" w:eastAsia="仿宋_GB2312" w:cs="仿宋_GB2312"/>
          <w:snapToGrid/>
          <w:color w:val="auto"/>
          <w:kern w:val="2"/>
          <w:sz w:val="32"/>
          <w:szCs w:val="32"/>
          <w:lang w:val="en-US" w:eastAsia="zh-CN" w:bidi="ar-SA"/>
        </w:rPr>
        <w:t>药品经营企业及使用单位应当承担起主体责任，建立并完善药品信息化追溯管理制度，严格遵循相关法规和技术标准，定期检查追溯数据的上传情况，及时处理上下游追溯数据中的风险预警信息。通过药品追溯系统实现追溯信息的存储、交换和互联互通，并主动向监管部门提供追溯信息，报告发现的任何违法违规行为。</w:t>
      </w:r>
    </w:p>
    <w:p w14:paraId="13362375">
      <w:pPr>
        <w:keepNext w:val="0"/>
        <w:keepLines w:val="0"/>
        <w:pageBreakBefore w:val="0"/>
        <w:widowControl/>
        <w:kinsoku/>
        <w:wordWrap/>
        <w:overflowPunct/>
        <w:topLinePunct w:val="0"/>
        <w:autoSpaceDE/>
        <w:autoSpaceDN/>
        <w:bidi w:val="0"/>
        <w:adjustRightInd w:val="0"/>
        <w:snapToGrid/>
        <w:spacing w:line="560" w:lineRule="exact"/>
        <w:ind w:firstLine="668"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楷体" w:hAnsi="楷体" w:eastAsia="楷体" w:cs="楷体"/>
          <w:color w:val="auto"/>
          <w:spacing w:val="12"/>
          <w:sz w:val="31"/>
          <w:szCs w:val="31"/>
          <w:lang w:eastAsia="zh-CN"/>
        </w:rPr>
        <w:t>（三）加强</w:t>
      </w:r>
      <w:r>
        <w:rPr>
          <w:rFonts w:ascii="楷体" w:hAnsi="楷体" w:eastAsia="楷体" w:cs="楷体"/>
          <w:color w:val="auto"/>
          <w:spacing w:val="12"/>
          <w:sz w:val="31"/>
          <w:szCs w:val="31"/>
        </w:rPr>
        <w:t>监督</w:t>
      </w:r>
      <w:r>
        <w:rPr>
          <w:rFonts w:hint="eastAsia" w:ascii="楷体" w:hAnsi="楷体" w:eastAsia="楷体" w:cs="楷体"/>
          <w:color w:val="auto"/>
          <w:spacing w:val="12"/>
          <w:sz w:val="31"/>
          <w:szCs w:val="31"/>
          <w:lang w:eastAsia="zh-CN"/>
        </w:rPr>
        <w:t>管理，</w:t>
      </w:r>
      <w:r>
        <w:rPr>
          <w:rFonts w:hint="eastAsia" w:ascii="楷体" w:hAnsi="楷体" w:eastAsia="楷体" w:cs="楷体"/>
          <w:color w:val="auto"/>
          <w:spacing w:val="12"/>
          <w:sz w:val="31"/>
          <w:szCs w:val="31"/>
        </w:rPr>
        <w:t>严格责任落实</w:t>
      </w:r>
      <w:r>
        <w:rPr>
          <w:rFonts w:ascii="楷体" w:hAnsi="楷体" w:eastAsia="楷体" w:cs="楷体"/>
          <w:color w:val="auto"/>
          <w:spacing w:val="12"/>
          <w:sz w:val="31"/>
          <w:szCs w:val="31"/>
        </w:rPr>
        <w:t>。</w:t>
      </w:r>
      <w:r>
        <w:rPr>
          <w:rFonts w:hint="eastAsia" w:ascii="仿宋_GB2312" w:hAnsi="仿宋_GB2312" w:eastAsia="仿宋_GB2312" w:cs="仿宋_GB2312"/>
          <w:snapToGrid/>
          <w:color w:val="auto"/>
          <w:kern w:val="2"/>
          <w:sz w:val="32"/>
          <w:szCs w:val="32"/>
          <w:lang w:val="en-US" w:eastAsia="zh-CN" w:bidi="ar-SA"/>
        </w:rPr>
        <w:t>各级监管部门要切实</w:t>
      </w:r>
      <w:r>
        <w:rPr>
          <w:rFonts w:hint="eastAsia" w:ascii="仿宋_GB2312" w:hAnsi="仿宋_GB2312" w:eastAsia="仿宋_GB2312" w:cs="仿宋_GB2312"/>
          <w:snapToGrid/>
          <w:color w:val="auto"/>
          <w:kern w:val="2"/>
          <w:sz w:val="32"/>
          <w:szCs w:val="32"/>
          <w:lang w:val="en-US" w:eastAsia="en-US" w:bidi="ar-SA"/>
        </w:rPr>
        <w:t>提</w:t>
      </w:r>
      <w:r>
        <w:rPr>
          <w:rFonts w:hint="eastAsia" w:ascii="仿宋_GB2312" w:hAnsi="仿宋_GB2312" w:eastAsia="仿宋_GB2312" w:cs="仿宋_GB2312"/>
          <w:snapToGrid/>
          <w:color w:val="auto"/>
          <w:kern w:val="2"/>
          <w:sz w:val="32"/>
          <w:szCs w:val="32"/>
          <w:lang w:val="en-US" w:eastAsia="zh-CN" w:bidi="ar-SA"/>
        </w:rPr>
        <w:t>升</w:t>
      </w:r>
      <w:r>
        <w:rPr>
          <w:rFonts w:hint="eastAsia" w:ascii="仿宋_GB2312" w:hAnsi="仿宋_GB2312" w:eastAsia="仿宋_GB2312" w:cs="仿宋_GB2312"/>
          <w:snapToGrid/>
          <w:color w:val="auto"/>
          <w:kern w:val="2"/>
          <w:sz w:val="32"/>
          <w:szCs w:val="32"/>
          <w:lang w:val="en-US" w:eastAsia="en-US" w:bidi="ar-SA"/>
        </w:rPr>
        <w:t>工作执行力，</w:t>
      </w:r>
      <w:r>
        <w:rPr>
          <w:rFonts w:hint="eastAsia" w:ascii="仿宋_GB2312" w:hAnsi="仿宋_GB2312" w:eastAsia="仿宋_GB2312" w:cs="仿宋_GB2312"/>
          <w:snapToGrid/>
          <w:color w:val="auto"/>
          <w:kern w:val="2"/>
          <w:sz w:val="32"/>
          <w:szCs w:val="32"/>
          <w:lang w:val="en-US" w:eastAsia="zh-CN" w:bidi="ar-SA"/>
        </w:rPr>
        <w:t>自治区药监局已将药品信息化追溯管理情况纳入各地药品安全考核内容，确保我区药品信息化追溯体系建设按期完成。加强对药品经营企业及使用单位的监管，将药品追溯管理制度的建立、销售包装单元的赋码、追溯信息的核验上传等纳入许可检查和日常监督检查，依法查处违法违规行为。对于排查发现的“回流药”、非法渠道购进药品等违法行为予以查处，及时移送相关部门处置。</w:t>
      </w:r>
    </w:p>
    <w:p w14:paraId="69F23886">
      <w:pPr>
        <w:keepNext w:val="0"/>
        <w:keepLines w:val="0"/>
        <w:pageBreakBefore w:val="0"/>
        <w:widowControl/>
        <w:kinsoku/>
        <w:wordWrap/>
        <w:overflowPunct/>
        <w:topLinePunct w:val="0"/>
        <w:autoSpaceDE/>
        <w:autoSpaceDN/>
        <w:bidi w:val="0"/>
        <w:adjustRightInd w:val="0"/>
        <w:snapToGrid/>
        <w:spacing w:line="560" w:lineRule="exact"/>
        <w:ind w:firstLine="668" w:firstLineChars="200"/>
        <w:jc w:val="both"/>
        <w:textAlignment w:val="auto"/>
        <w:rPr>
          <w:rFonts w:hint="eastAsia" w:ascii="仿宋_GB2312" w:hAnsi="仿宋_GB2312" w:eastAsia="仿宋_GB2312" w:cs="仿宋_GB2312"/>
          <w:color w:val="auto"/>
          <w:spacing w:val="26"/>
          <w:sz w:val="32"/>
          <w:szCs w:val="32"/>
        </w:rPr>
      </w:pPr>
      <w:r>
        <w:rPr>
          <w:rFonts w:hint="eastAsia" w:ascii="楷体" w:hAnsi="楷体" w:eastAsia="楷体" w:cs="楷体"/>
          <w:color w:val="auto"/>
          <w:spacing w:val="12"/>
          <w:sz w:val="31"/>
          <w:szCs w:val="31"/>
          <w:lang w:val="en-US" w:eastAsia="zh-CN"/>
        </w:rPr>
        <w:t>（四）加强部门</w:t>
      </w:r>
      <w:r>
        <w:rPr>
          <w:rFonts w:hint="default" w:ascii="楷体" w:hAnsi="楷体" w:eastAsia="楷体" w:cs="楷体"/>
          <w:color w:val="auto"/>
          <w:spacing w:val="12"/>
          <w:sz w:val="31"/>
          <w:szCs w:val="31"/>
          <w:lang w:val="en-US" w:eastAsia="zh-CN"/>
        </w:rPr>
        <w:t>联动</w:t>
      </w:r>
      <w:r>
        <w:rPr>
          <w:rFonts w:hint="eastAsia" w:ascii="楷体" w:hAnsi="楷体" w:eastAsia="楷体" w:cs="楷体"/>
          <w:color w:val="auto"/>
          <w:spacing w:val="12"/>
          <w:sz w:val="31"/>
          <w:szCs w:val="31"/>
          <w:lang w:val="en-US" w:eastAsia="zh-CN"/>
        </w:rPr>
        <w:t>，推进数据分析利用。</w:t>
      </w:r>
      <w:r>
        <w:rPr>
          <w:rFonts w:hint="eastAsia" w:ascii="仿宋_GB2312" w:hAnsi="仿宋_GB2312" w:eastAsia="仿宋_GB2312" w:cs="仿宋_GB2312"/>
          <w:snapToGrid/>
          <w:color w:val="auto"/>
          <w:kern w:val="2"/>
          <w:sz w:val="32"/>
          <w:szCs w:val="32"/>
          <w:lang w:val="en-US" w:eastAsia="zh-CN" w:bidi="ar-SA"/>
        </w:rPr>
        <w:t>各级药品监管部门、卫生健康、医保部门要加强协同联动，充分发挥“三医”联动机制作用，加强数据共享、情况通报、联合行动，切实形成药品安全治理工作合力。同时，积极开展药品追溯分析，不断探索和发挥药品“大数据”在问题追溯、药物滥用、统计分析、风险研判、医保基金监管等方面的技术支撑作用。注重药品追溯体系在日常监督检查、药品质量抽检、药品应急处置、案件线索核查以及“三医”协同治理等方面的应用，不断提升智慧监管水平。</w:t>
      </w:r>
    </w:p>
    <w:p w14:paraId="5DD9AE92">
      <w:pPr>
        <w:pStyle w:val="2"/>
        <w:keepNext w:val="0"/>
        <w:keepLines w:val="0"/>
        <w:pageBreakBefore w:val="0"/>
        <w:widowControl/>
        <w:kinsoku w:val="0"/>
        <w:wordWrap/>
        <w:overflowPunct/>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color w:val="auto"/>
          <w:spacing w:val="26"/>
          <w:sz w:val="32"/>
          <w:szCs w:val="32"/>
        </w:rPr>
      </w:pPr>
      <w:r>
        <w:rPr>
          <w:rFonts w:hint="eastAsia" w:ascii="仿宋_GB2312" w:hAnsi="仿宋_GB2312" w:eastAsia="仿宋_GB2312" w:cs="仿宋_GB2312"/>
          <w:snapToGrid/>
          <w:color w:val="auto"/>
          <w:kern w:val="2"/>
          <w:sz w:val="32"/>
          <w:szCs w:val="32"/>
          <w:lang w:val="en-US" w:eastAsia="zh-CN" w:bidi="ar-SA"/>
        </w:rPr>
        <w:t>国家药监局对药品信息化追溯工作有新要求的，从其要求。</w:t>
      </w:r>
    </w:p>
    <w:p w14:paraId="0B9EDDEE">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both"/>
        <w:textAlignment w:val="auto"/>
        <w:rPr>
          <w:rFonts w:hint="eastAsia" w:ascii="仿宋_GB2312" w:hAnsi="仿宋_GB2312" w:eastAsia="仿宋_GB2312" w:cs="仿宋_GB2312"/>
          <w:snapToGrid/>
          <w:color w:val="auto"/>
          <w:spacing w:val="-20"/>
          <w:kern w:val="2"/>
          <w:sz w:val="32"/>
          <w:szCs w:val="32"/>
          <w:lang w:val="en-US" w:eastAsia="zh-CN"/>
        </w:rPr>
      </w:pPr>
    </w:p>
    <w:p w14:paraId="28206608">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both"/>
        <w:textAlignment w:val="auto"/>
        <w:rPr>
          <w:rFonts w:hint="eastAsia" w:ascii="仿宋_GB2312" w:hAnsi="仿宋_GB2312" w:eastAsia="仿宋_GB2312" w:cs="仿宋_GB2312"/>
          <w:snapToGrid/>
          <w:color w:val="auto"/>
          <w:spacing w:val="-20"/>
          <w:kern w:val="2"/>
          <w:sz w:val="32"/>
          <w:szCs w:val="32"/>
          <w:lang w:val="en-US" w:eastAsia="en-US"/>
        </w:rPr>
      </w:pPr>
      <w:r>
        <w:rPr>
          <w:rFonts w:hint="eastAsia" w:ascii="仿宋_GB2312" w:hAnsi="仿宋_GB2312" w:eastAsia="仿宋_GB2312" w:cs="仿宋_GB2312"/>
          <w:snapToGrid/>
          <w:color w:val="auto"/>
          <w:spacing w:val="-20"/>
          <w:kern w:val="2"/>
          <w:sz w:val="32"/>
          <w:szCs w:val="32"/>
          <w:lang w:val="en-US" w:eastAsia="zh-CN"/>
        </w:rPr>
        <w:t>自治区药监局</w:t>
      </w:r>
      <w:r>
        <w:rPr>
          <w:rFonts w:hint="eastAsia" w:ascii="仿宋_GB2312" w:hAnsi="仿宋_GB2312" w:eastAsia="仿宋_GB2312" w:cs="仿宋_GB2312"/>
          <w:snapToGrid/>
          <w:color w:val="auto"/>
          <w:spacing w:val="-20"/>
          <w:kern w:val="2"/>
          <w:sz w:val="32"/>
          <w:szCs w:val="32"/>
          <w:lang w:val="en-US" w:eastAsia="en-US"/>
        </w:rPr>
        <w:t>联系人：</w:t>
      </w:r>
      <w:r>
        <w:rPr>
          <w:rFonts w:hint="eastAsia" w:ascii="仿宋_GB2312" w:hAnsi="仿宋_GB2312" w:eastAsia="仿宋_GB2312" w:cs="仿宋_GB2312"/>
          <w:snapToGrid/>
          <w:color w:val="auto"/>
          <w:spacing w:val="-20"/>
          <w:kern w:val="2"/>
          <w:sz w:val="32"/>
          <w:szCs w:val="32"/>
          <w:lang w:val="en-US" w:eastAsia="zh-CN"/>
        </w:rPr>
        <w:t xml:space="preserve">                </w:t>
      </w:r>
      <w:r>
        <w:rPr>
          <w:rFonts w:hint="eastAsia" w:ascii="仿宋_GB2312" w:hAnsi="仿宋_GB2312" w:eastAsia="仿宋_GB2312" w:cs="仿宋_GB2312"/>
          <w:snapToGrid/>
          <w:color w:val="auto"/>
          <w:spacing w:val="-20"/>
          <w:kern w:val="2"/>
          <w:sz w:val="32"/>
          <w:szCs w:val="32"/>
          <w:lang w:val="en-US" w:eastAsia="en-US"/>
        </w:rPr>
        <w:t>电  话：</w:t>
      </w:r>
    </w:p>
    <w:p w14:paraId="12EFECC7">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both"/>
        <w:textAlignment w:val="auto"/>
        <w:rPr>
          <w:rFonts w:hint="eastAsia" w:ascii="仿宋_GB2312" w:hAnsi="仿宋_GB2312" w:eastAsia="仿宋_GB2312" w:cs="仿宋_GB2312"/>
          <w:snapToGrid/>
          <w:color w:val="auto"/>
          <w:spacing w:val="-20"/>
          <w:kern w:val="2"/>
          <w:sz w:val="32"/>
          <w:szCs w:val="32"/>
          <w:lang w:val="en-US" w:eastAsia="zh-CN"/>
        </w:rPr>
      </w:pPr>
      <w:r>
        <w:rPr>
          <w:rFonts w:hint="eastAsia" w:ascii="仿宋_GB2312" w:hAnsi="仿宋_GB2312" w:eastAsia="仿宋_GB2312" w:cs="仿宋_GB2312"/>
          <w:snapToGrid/>
          <w:color w:val="auto"/>
          <w:spacing w:val="-20"/>
          <w:kern w:val="2"/>
          <w:sz w:val="32"/>
          <w:szCs w:val="32"/>
          <w:lang w:val="en-US" w:eastAsia="zh-CN"/>
        </w:rPr>
        <w:t>自治区卫生健康委联系人：            电  话：</w:t>
      </w:r>
    </w:p>
    <w:p w14:paraId="5D52749F">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both"/>
        <w:textAlignment w:val="auto"/>
        <w:rPr>
          <w:rFonts w:hint="eastAsia" w:ascii="仿宋" w:hAnsi="仿宋" w:cs="仿宋"/>
          <w:b/>
          <w:bCs/>
          <w:szCs w:val="32"/>
          <w:lang w:eastAsia="zh-CN"/>
        </w:rPr>
      </w:pPr>
      <w:r>
        <w:rPr>
          <w:rFonts w:hint="eastAsia" w:ascii="仿宋_GB2312" w:hAnsi="仿宋_GB2312" w:eastAsia="仿宋_GB2312" w:cs="仿宋_GB2312"/>
          <w:snapToGrid/>
          <w:color w:val="auto"/>
          <w:spacing w:val="-20"/>
          <w:kern w:val="2"/>
          <w:sz w:val="32"/>
          <w:szCs w:val="32"/>
          <w:lang w:val="en-US" w:eastAsia="zh-CN"/>
        </w:rPr>
        <w:t>自治区医疗保障局联系人：            电  话：</w:t>
      </w:r>
    </w:p>
    <w:tbl>
      <w:tblPr>
        <w:tblStyle w:val="3"/>
        <w:tblW w:w="0" w:type="auto"/>
        <w:jc w:val="center"/>
        <w:tblLayout w:type="fixed"/>
        <w:tblCellMar>
          <w:top w:w="0" w:type="dxa"/>
          <w:left w:w="0" w:type="dxa"/>
          <w:bottom w:w="0" w:type="dxa"/>
          <w:right w:w="0" w:type="dxa"/>
        </w:tblCellMar>
      </w:tblPr>
      <w:tblGrid>
        <w:gridCol w:w="4139"/>
        <w:gridCol w:w="4139"/>
      </w:tblGrid>
      <w:tr w14:paraId="25E22A69">
        <w:tblPrEx>
          <w:tblCellMar>
            <w:top w:w="0" w:type="dxa"/>
            <w:left w:w="0" w:type="dxa"/>
            <w:bottom w:w="0" w:type="dxa"/>
            <w:right w:w="0" w:type="dxa"/>
          </w:tblCellMar>
        </w:tblPrEx>
        <w:trPr>
          <w:trHeight w:val="2835" w:hRule="atLeast"/>
          <w:jc w:val="center"/>
        </w:trPr>
        <w:tc>
          <w:tcPr>
            <w:tcW w:w="4139" w:type="dxa"/>
            <w:noWrap w:val="0"/>
            <w:vAlign w:val="bottom"/>
          </w:tcPr>
          <w:p w14:paraId="582960C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Times New Roman" w:hAnsi="Times New Roman" w:eastAsia="仿宋_GB2312" w:cs="Times New Roman"/>
                <w:color w:val="auto"/>
                <w:w w:val="100"/>
                <w:kern w:val="21"/>
                <w:sz w:val="32"/>
                <w:szCs w:val="32"/>
              </w:rPr>
            </w:pPr>
            <w:r>
              <w:rPr>
                <w:rFonts w:hint="eastAsia" w:ascii="Times New Roman" w:hAnsi="Times New Roman" w:eastAsia="仿宋_GB2312" w:cs="Times New Roman"/>
                <w:color w:val="auto"/>
                <w:w w:val="100"/>
                <w:kern w:val="21"/>
                <w:sz w:val="32"/>
                <w:szCs w:val="32"/>
              </w:rPr>
              <w:t>自治区药品监督管理局</w:t>
            </w:r>
          </w:p>
        </w:tc>
        <w:tc>
          <w:tcPr>
            <w:tcW w:w="4139" w:type="dxa"/>
            <w:noWrap w:val="0"/>
            <w:vAlign w:val="bottom"/>
          </w:tcPr>
          <w:p w14:paraId="333F290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Times New Roman" w:hAnsi="Times New Roman" w:eastAsia="仿宋_GB2312" w:cs="Times New Roman"/>
                <w:color w:val="auto"/>
                <w:w w:val="100"/>
                <w:kern w:val="21"/>
                <w:sz w:val="32"/>
                <w:szCs w:val="32"/>
                <w:lang w:val="en-US" w:eastAsia="zh-CN"/>
              </w:rPr>
            </w:pPr>
            <w:r>
              <w:rPr>
                <w:rFonts w:hint="eastAsia" w:ascii="Times New Roman" w:hAnsi="Times New Roman" w:eastAsia="仿宋_GB2312" w:cs="Times New Roman"/>
                <w:color w:val="auto"/>
                <w:w w:val="100"/>
                <w:kern w:val="21"/>
                <w:sz w:val="32"/>
                <w:szCs w:val="32"/>
                <w:lang w:val="en-US" w:eastAsia="zh-CN"/>
              </w:rPr>
              <w:t>自治区卫生健康委员会</w:t>
            </w:r>
          </w:p>
        </w:tc>
      </w:tr>
      <w:tr w14:paraId="20A8F662">
        <w:tblPrEx>
          <w:tblCellMar>
            <w:top w:w="0" w:type="dxa"/>
            <w:left w:w="0" w:type="dxa"/>
            <w:bottom w:w="0" w:type="dxa"/>
            <w:right w:w="0" w:type="dxa"/>
          </w:tblCellMar>
        </w:tblPrEx>
        <w:trPr>
          <w:trHeight w:val="2835" w:hRule="atLeast"/>
          <w:jc w:val="center"/>
        </w:trPr>
        <w:tc>
          <w:tcPr>
            <w:tcW w:w="4139" w:type="dxa"/>
            <w:noWrap w:val="0"/>
            <w:vAlign w:val="bottom"/>
          </w:tcPr>
          <w:p w14:paraId="64221C3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仿宋_GB2312" w:cs="Times New Roman"/>
                <w:color w:val="auto"/>
                <w:w w:val="100"/>
                <w:kern w:val="21"/>
                <w:sz w:val="32"/>
                <w:szCs w:val="32"/>
                <w:lang w:val="en-US" w:eastAsia="zh-CN"/>
              </w:rPr>
            </w:pPr>
            <w:r>
              <w:rPr>
                <w:rFonts w:hint="eastAsia" w:ascii="Times New Roman" w:hAnsi="Times New Roman" w:eastAsia="仿宋_GB2312" w:cs="Times New Roman"/>
                <w:color w:val="auto"/>
                <w:w w:val="100"/>
                <w:kern w:val="21"/>
                <w:sz w:val="32"/>
                <w:szCs w:val="32"/>
              </w:rPr>
              <w:t>自治区</w:t>
            </w:r>
            <w:r>
              <w:rPr>
                <w:rFonts w:hint="eastAsia" w:ascii="Times New Roman" w:hAnsi="Times New Roman" w:eastAsia="仿宋_GB2312" w:cs="Times New Roman"/>
                <w:color w:val="auto"/>
                <w:w w:val="100"/>
                <w:kern w:val="21"/>
                <w:sz w:val="32"/>
                <w:szCs w:val="32"/>
                <w:lang w:val="en-US" w:eastAsia="zh-CN"/>
              </w:rPr>
              <w:t>医疗保障局</w:t>
            </w:r>
          </w:p>
        </w:tc>
        <w:tc>
          <w:tcPr>
            <w:tcW w:w="4139" w:type="dxa"/>
            <w:noWrap w:val="0"/>
            <w:vAlign w:val="bottom"/>
          </w:tcPr>
          <w:p w14:paraId="40941D85">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仿宋_GB2312" w:cs="Times New Roman"/>
                <w:color w:val="auto"/>
                <w:w w:val="100"/>
                <w:kern w:val="21"/>
                <w:sz w:val="32"/>
                <w:szCs w:val="32"/>
                <w:lang w:val="en-US" w:eastAsia="zh-CN"/>
              </w:rPr>
            </w:pPr>
          </w:p>
        </w:tc>
      </w:tr>
    </w:tbl>
    <w:p w14:paraId="7209536B">
      <w:pPr>
        <w:keepNext w:val="0"/>
        <w:keepLines w:val="0"/>
        <w:pageBreakBefore w:val="0"/>
        <w:widowControl/>
        <w:kinsoku w:val="0"/>
        <w:wordWrap/>
        <w:overflowPunct/>
        <w:topLinePunct w:val="0"/>
        <w:autoSpaceDE w:val="0"/>
        <w:autoSpaceDN w:val="0"/>
        <w:bidi w:val="0"/>
        <w:adjustRightInd w:val="0"/>
        <w:snapToGrid/>
        <w:spacing w:line="560" w:lineRule="exact"/>
        <w:ind w:right="0" w:firstLine="5792" w:firstLineChars="1600"/>
        <w:jc w:val="both"/>
        <w:textAlignment w:val="baseline"/>
        <w:outlineLvl w:val="0"/>
        <w:rPr>
          <w:rFonts w:hint="eastAsia" w:ascii="Times New Roman" w:hAnsi="Times New Roman" w:eastAsia="方正仿宋_GB18030" w:cs="Times New Roman"/>
          <w:snapToGrid w:val="0"/>
          <w:color w:val="auto"/>
          <w:spacing w:val="21"/>
          <w:kern w:val="0"/>
          <w:sz w:val="32"/>
          <w:szCs w:val="32"/>
          <w:lang w:val="en-US" w:eastAsia="zh-CN" w:bidi="ar-SA"/>
        </w:rPr>
      </w:pPr>
      <w:r>
        <w:rPr>
          <w:rFonts w:hint="default" w:ascii="Times New Roman" w:hAnsi="Times New Roman" w:eastAsia="方正仿宋_GB18030" w:cs="Times New Roman"/>
          <w:snapToGrid w:val="0"/>
          <w:color w:val="auto"/>
          <w:spacing w:val="21"/>
          <w:kern w:val="0"/>
          <w:sz w:val="32"/>
          <w:szCs w:val="32"/>
          <w:lang w:val="en-US" w:eastAsia="zh-CN" w:bidi="ar-SA"/>
        </w:rPr>
        <w:t>202</w:t>
      </w:r>
      <w:r>
        <w:rPr>
          <w:rFonts w:hint="eastAsia" w:eastAsia="方正仿宋_GB18030" w:cs="Times New Roman"/>
          <w:snapToGrid w:val="0"/>
          <w:color w:val="auto"/>
          <w:spacing w:val="21"/>
          <w:kern w:val="0"/>
          <w:sz w:val="32"/>
          <w:szCs w:val="32"/>
          <w:lang w:val="en-US" w:eastAsia="zh-CN" w:bidi="ar-SA"/>
        </w:rPr>
        <w:t>6</w:t>
      </w:r>
      <w:r>
        <w:rPr>
          <w:rFonts w:hint="default" w:ascii="Times New Roman" w:hAnsi="Times New Roman" w:eastAsia="方正仿宋_GB18030" w:cs="Times New Roman"/>
          <w:snapToGrid w:val="0"/>
          <w:color w:val="auto"/>
          <w:spacing w:val="21"/>
          <w:kern w:val="0"/>
          <w:sz w:val="32"/>
          <w:szCs w:val="32"/>
          <w:lang w:val="en-US" w:eastAsia="zh-CN" w:bidi="ar-SA"/>
        </w:rPr>
        <w:t>年</w:t>
      </w:r>
      <w:r>
        <w:rPr>
          <w:rFonts w:hint="eastAsia" w:eastAsia="方正仿宋_GB18030" w:cs="Times New Roman"/>
          <w:snapToGrid w:val="0"/>
          <w:color w:val="auto"/>
          <w:spacing w:val="21"/>
          <w:kern w:val="0"/>
          <w:sz w:val="32"/>
          <w:szCs w:val="32"/>
          <w:lang w:val="en-US" w:eastAsia="zh-CN" w:bidi="ar-SA"/>
        </w:rPr>
        <w:t>1</w:t>
      </w:r>
      <w:r>
        <w:rPr>
          <w:rFonts w:hint="eastAsia" w:ascii="Times New Roman" w:hAnsi="Times New Roman" w:eastAsia="方正仿宋_GB18030" w:cs="Times New Roman"/>
          <w:snapToGrid w:val="0"/>
          <w:color w:val="auto"/>
          <w:spacing w:val="21"/>
          <w:kern w:val="0"/>
          <w:sz w:val="32"/>
          <w:szCs w:val="32"/>
          <w:lang w:val="en-US" w:eastAsia="zh-CN" w:bidi="ar-SA"/>
        </w:rPr>
        <w:t>月</w:t>
      </w:r>
      <w:r>
        <w:rPr>
          <w:rFonts w:hint="eastAsia" w:eastAsia="方正仿宋_GB18030" w:cs="Times New Roman"/>
          <w:snapToGrid w:val="0"/>
          <w:color w:val="auto"/>
          <w:spacing w:val="21"/>
          <w:kern w:val="0"/>
          <w:sz w:val="32"/>
          <w:szCs w:val="32"/>
          <w:lang w:val="en-US" w:eastAsia="zh-CN" w:bidi="ar-SA"/>
        </w:rPr>
        <w:t xml:space="preserve"> </w:t>
      </w:r>
      <w:bookmarkStart w:id="0" w:name="_GoBack"/>
      <w:bookmarkEnd w:id="0"/>
      <w:r>
        <w:rPr>
          <w:rFonts w:hint="eastAsia" w:ascii="Times New Roman" w:hAnsi="Times New Roman" w:eastAsia="方正仿宋_GB18030" w:cs="Times New Roman"/>
          <w:snapToGrid w:val="0"/>
          <w:color w:val="auto"/>
          <w:spacing w:val="21"/>
          <w:kern w:val="0"/>
          <w:sz w:val="32"/>
          <w:szCs w:val="32"/>
          <w:lang w:val="en-US" w:eastAsia="zh-CN" w:bidi="ar-SA"/>
        </w:rPr>
        <w:t>日</w:t>
      </w:r>
    </w:p>
    <w:p w14:paraId="6D2C2A43">
      <w:pPr>
        <w:keepNext w:val="0"/>
        <w:keepLines w:val="0"/>
        <w:pageBreakBefore w:val="0"/>
        <w:widowControl/>
        <w:kinsoku w:val="0"/>
        <w:wordWrap/>
        <w:overflowPunct/>
        <w:topLinePunct w:val="0"/>
        <w:autoSpaceDE w:val="0"/>
        <w:autoSpaceDN w:val="0"/>
        <w:bidi w:val="0"/>
        <w:adjustRightInd w:val="0"/>
        <w:snapToGrid/>
        <w:spacing w:line="560" w:lineRule="exact"/>
        <w:ind w:right="0"/>
        <w:jc w:val="both"/>
        <w:textAlignment w:val="baseline"/>
        <w:outlineLvl w:val="0"/>
        <w:rPr>
          <w:rFonts w:hint="eastAsia" w:ascii="Times New Roman" w:hAnsi="Times New Roman" w:eastAsia="方正仿宋_GB18030" w:cs="Times New Roman"/>
          <w:snapToGrid w:val="0"/>
          <w:color w:val="auto"/>
          <w:spacing w:val="21"/>
          <w:kern w:val="0"/>
          <w:sz w:val="32"/>
          <w:szCs w:val="32"/>
          <w:lang w:val="en-US" w:eastAsia="zh-CN" w:bidi="ar-SA"/>
        </w:rPr>
      </w:pPr>
      <w:r>
        <w:rPr>
          <w:rFonts w:hint="eastAsia" w:ascii="仿宋_GB2312" w:hAnsi="仿宋_GB2312" w:eastAsia="仿宋_GB2312" w:cs="仿宋_GB2312"/>
          <w:color w:val="auto"/>
          <w:w w:val="100"/>
          <w:kern w:val="21"/>
          <w:sz w:val="32"/>
          <w:lang w:val="en-US" w:eastAsia="zh-CN"/>
        </w:rPr>
        <w:t>（公开属性：主动公开）</w:t>
      </w:r>
    </w:p>
    <w:p w14:paraId="1E1B8B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EDB5C"/>
    <w:multiLevelType w:val="singleLevel"/>
    <w:tmpl w:val="FF6EDB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4157D"/>
    <w:rsid w:val="1CC4157D"/>
    <w:rsid w:val="26AC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jc w:val="center"/>
    </w:pPr>
    <w:rPr>
      <w:rFonts w:eastAsia="黑体" w:cs="Times New Roman"/>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2025-12-24T10:59:00Z</dcterms:created>
  <dc:creator>Be a loity จุ๊บ</dc:creator>
  <cp:lastModifiedBy>Be a loity จุ๊บ</cp:lastModifiedBy>
  <dcterms:modified xsi:type="dcterms:W3CDTF">2025-12-24T11:01:28Z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CBA4E12CF4A540A5923A99DC645F4002_11</vt:lpwstr>
  </property>
  <property fmtid="{D5CDD505-2E9C-101B-9397-08002B2CF9AE}" pid="4" name="KSOTemplateDocerSaveRecord">
    <vt:lpwstr>eyJoZGlkIjoiMGY3YWRmZmEyMDg0YmZiZDJjMjgxZGVkYzM4ZDY3MTQiLCJ1c2VySWQiOiI0NTI2MjAwMDEifQ==</vt:lpwstr>
  </property>
</Properties>
</file>