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方正小标宋_GBK" w:eastAsia="方正小标宋_GBK"/>
          <w:sz w:val="44"/>
          <w:szCs w:val="44"/>
        </w:rPr>
      </w:pPr>
      <w:r>
        <w:rPr>
          <w:rFonts w:hint="eastAsia" w:ascii="方正小标宋_GBK" w:eastAsia="方正小标宋_GBK"/>
          <w:sz w:val="44"/>
          <w:szCs w:val="44"/>
        </w:rPr>
        <w:t>新疆维吾尔自治</w:t>
      </w:r>
      <w:bookmarkStart w:id="0" w:name="_GoBack"/>
      <w:bookmarkEnd w:id="0"/>
      <w:r>
        <w:rPr>
          <w:rFonts w:hint="eastAsia" w:ascii="方正小标宋_GBK" w:eastAsia="方正小标宋_GBK"/>
          <w:sz w:val="44"/>
          <w:szCs w:val="44"/>
        </w:rPr>
        <w:t>区医疗机构中药民族药</w:t>
      </w:r>
    </w:p>
    <w:p>
      <w:pPr>
        <w:adjustRightInd w:val="0"/>
        <w:spacing w:line="560" w:lineRule="exact"/>
        <w:jc w:val="center"/>
        <w:rPr>
          <w:rFonts w:ascii="方正小标宋_GBK" w:eastAsia="方正小标宋_GBK"/>
          <w:sz w:val="44"/>
          <w:szCs w:val="44"/>
        </w:rPr>
      </w:pPr>
      <w:r>
        <w:rPr>
          <w:rFonts w:hint="eastAsia" w:ascii="方正小标宋_GBK" w:eastAsia="方正小标宋_GBK"/>
          <w:sz w:val="44"/>
          <w:szCs w:val="44"/>
        </w:rPr>
        <w:t>制剂配制工艺研究技术指导原则</w:t>
      </w:r>
    </w:p>
    <w:p>
      <w:pPr>
        <w:widowControl/>
        <w:adjustRightInd w:val="0"/>
        <w:jc w:val="center"/>
        <w:rPr>
          <w:rFonts w:ascii="楷体" w:hAnsi="楷体" w:eastAsia="楷体"/>
          <w:szCs w:val="32"/>
        </w:rPr>
      </w:pPr>
      <w:r>
        <w:rPr>
          <w:rFonts w:hint="eastAsia" w:ascii="楷体" w:hAnsi="楷体" w:eastAsia="楷体"/>
          <w:szCs w:val="32"/>
        </w:rPr>
        <w:t>（修订征求意见稿）</w:t>
      </w:r>
    </w:p>
    <w:p>
      <w:pPr>
        <w:adjustRightInd w:val="0"/>
        <w:ind w:firstLine="624" w:firstLineChars="200"/>
      </w:pPr>
    </w:p>
    <w:p>
      <w:pPr>
        <w:adjustRightInd w:val="0"/>
        <w:ind w:firstLine="624" w:firstLineChars="200"/>
        <w:rPr>
          <w:rFonts w:ascii="黑体" w:hAnsi="黑体" w:eastAsia="黑体"/>
        </w:rPr>
      </w:pPr>
      <w:r>
        <w:rPr>
          <w:rFonts w:hint="eastAsia" w:ascii="黑体" w:hAnsi="黑体" w:eastAsia="黑体"/>
        </w:rPr>
        <w:t>一、概述</w:t>
      </w:r>
    </w:p>
    <w:p>
      <w:pPr>
        <w:adjustRightInd w:val="0"/>
        <w:ind w:firstLine="624" w:firstLineChars="200"/>
        <w:rPr>
          <w:rFonts w:hAnsi="仿宋"/>
          <w:szCs w:val="32"/>
        </w:rPr>
      </w:pPr>
      <w:r>
        <w:rPr>
          <w:rFonts w:hint="eastAsia" w:hAnsi="仿宋"/>
          <w:szCs w:val="32"/>
        </w:rPr>
        <w:t>根据《医疗机构制剂注册管理办法（试行）》、《新疆维吾尔自治区实施〈医疗机构制剂注册管理办法（试行）〉细则》有关要求，参照国家药品监督管理局颁布的中药、天然药物相关研究技术指导原则，结合医疗机构中药民族药制剂特点，制定本技术指导原则。配制工艺的研究是医疗机构中药民族药制剂研发的一个关键环节，配制工艺的科学合理，直接关系到制剂的安全有效，并与制剂质量的可控和稳定密切相关。本指导原则主要阐述医疗机构中药民族药制剂配制工艺研究的基本思路和方法，为配制工艺研究提供基本的技术帮助与指导。</w:t>
      </w:r>
    </w:p>
    <w:p>
      <w:pPr>
        <w:adjustRightInd w:val="0"/>
        <w:ind w:firstLine="624" w:firstLineChars="200"/>
        <w:rPr>
          <w:rFonts w:hAnsi="仿宋"/>
          <w:szCs w:val="32"/>
        </w:rPr>
      </w:pPr>
      <w:r>
        <w:rPr>
          <w:rFonts w:hint="eastAsia" w:hAnsi="仿宋"/>
          <w:szCs w:val="32"/>
        </w:rPr>
        <w:t>申请人应在中医药（民族医药）理论指导下，根据临床用药需求、处方组成、药物性质及剂型特点，尊重传统用药经验，结合现代技术与生产实际进行必要的研究，以明确工艺路线和具体工艺参数，做到工艺合理、可行、药品质量均一稳定可控，切实保障药品的安全、有效。</w:t>
      </w:r>
    </w:p>
    <w:p>
      <w:pPr>
        <w:adjustRightInd w:val="0"/>
        <w:ind w:firstLine="624" w:firstLineChars="200"/>
        <w:rPr>
          <w:rFonts w:hAnsi="仿宋"/>
          <w:szCs w:val="32"/>
        </w:rPr>
      </w:pPr>
      <w:r>
        <w:rPr>
          <w:rFonts w:hint="eastAsia" w:hAnsi="仿宋"/>
          <w:szCs w:val="32"/>
        </w:rPr>
        <w:t>适用范围：按照《医疗机构制剂注册管理办法（试行）》拟取得制剂注册批准文号的中药（民族药）制剂；按照《新疆维吾尔自治区医疗机构应用传统工艺配制中药制剂备案管理实施细则（试行）》拟取得应用传统工艺配制制剂备案号品种的配制可参照其执行。</w:t>
      </w:r>
    </w:p>
    <w:p>
      <w:pPr>
        <w:adjustRightInd w:val="0"/>
        <w:ind w:firstLine="624" w:firstLineChars="200"/>
        <w:rPr>
          <w:rFonts w:hAnsi="仿宋"/>
          <w:szCs w:val="32"/>
        </w:rPr>
      </w:pPr>
      <w:r>
        <w:rPr>
          <w:rFonts w:hint="eastAsia" w:hAnsi="仿宋"/>
          <w:szCs w:val="32"/>
        </w:rPr>
        <w:t>本指导原则基本内容包括以下六部分：剂型选择、中药原料的来源与前处理研究、制剂工艺研究、直接接触制剂的包装材料（容器）的选择、无菌制剂的要求和</w:t>
      </w:r>
      <w:r>
        <w:rPr>
          <w:rFonts w:hint="eastAsia" w:hAnsi="仿宋"/>
          <w:bCs/>
          <w:szCs w:val="32"/>
        </w:rPr>
        <w:t>附注</w:t>
      </w:r>
      <w:r>
        <w:rPr>
          <w:rFonts w:hint="eastAsia" w:hAnsi="仿宋"/>
          <w:szCs w:val="32"/>
        </w:rPr>
        <w:t>。</w:t>
      </w:r>
    </w:p>
    <w:p>
      <w:pPr>
        <w:adjustRightInd w:val="0"/>
        <w:ind w:firstLine="624" w:firstLineChars="200"/>
        <w:rPr>
          <w:rFonts w:hint="eastAsia" w:ascii="黑体" w:hAnsi="黑体" w:eastAsia="黑体"/>
          <w:bCs/>
          <w:kern w:val="0"/>
          <w:szCs w:val="32"/>
        </w:rPr>
      </w:pPr>
      <w:r>
        <w:rPr>
          <w:rFonts w:hint="eastAsia" w:ascii="黑体" w:hAnsi="黑体" w:eastAsia="黑体"/>
          <w:bCs/>
          <w:kern w:val="0"/>
          <w:szCs w:val="32"/>
        </w:rPr>
        <w:t>二、剂型选择</w:t>
      </w:r>
    </w:p>
    <w:p>
      <w:pPr>
        <w:adjustRightInd w:val="0"/>
        <w:ind w:firstLine="624" w:firstLineChars="200"/>
        <w:rPr>
          <w:rFonts w:hint="eastAsia" w:hAnsi="仿宋"/>
          <w:bCs/>
          <w:kern w:val="0"/>
          <w:szCs w:val="32"/>
        </w:rPr>
      </w:pPr>
      <w:r>
        <w:rPr>
          <w:rFonts w:hint="eastAsia" w:hAnsi="仿宋"/>
          <w:bCs/>
          <w:kern w:val="0"/>
          <w:szCs w:val="32"/>
        </w:rPr>
        <w:t>剂型选择应借鉴前期用药经验，以满足临床治疗和应用需要为宗旨。根据临床需要及用药对象、处方组成及剂量和理化性质等综合分析，通过文献或试验资料确定选择剂型，充分阐述剂型选择的科学性、合理性、必要性。剂型的选择应主要考虑以下四个方面：</w:t>
      </w:r>
    </w:p>
    <w:p>
      <w:pPr>
        <w:adjustRightInd w:val="0"/>
        <w:ind w:firstLine="624" w:firstLineChars="200"/>
        <w:rPr>
          <w:rFonts w:ascii="楷体" w:hAnsi="楷体" w:eastAsia="楷体"/>
        </w:rPr>
      </w:pPr>
      <w:r>
        <w:rPr>
          <w:rFonts w:hint="eastAsia" w:ascii="楷体" w:hAnsi="楷体" w:eastAsia="楷体"/>
        </w:rPr>
        <w:t>（一）临床需要及用药对象</w:t>
      </w:r>
      <w:r>
        <w:rPr>
          <w:rFonts w:ascii="楷体" w:hAnsi="楷体" w:eastAsia="楷体"/>
        </w:rPr>
        <w:t xml:space="preserve"> </w:t>
      </w:r>
    </w:p>
    <w:p>
      <w:pPr>
        <w:adjustRightInd w:val="0"/>
        <w:ind w:firstLine="624" w:firstLineChars="200"/>
      </w:pPr>
      <w:r>
        <w:rPr>
          <w:rFonts w:hint="eastAsia"/>
        </w:rPr>
        <w:t>应考虑不同剂型可能适用于不同的临床病证需要，以及用药对象的顺应性和生理情况等。</w:t>
      </w:r>
    </w:p>
    <w:p>
      <w:pPr>
        <w:adjustRightInd w:val="0"/>
        <w:ind w:firstLine="624" w:firstLineChars="200"/>
        <w:rPr>
          <w:rFonts w:ascii="楷体" w:hAnsi="楷体" w:eastAsia="楷体"/>
        </w:rPr>
      </w:pPr>
      <w:r>
        <w:rPr>
          <w:rFonts w:hint="eastAsia" w:ascii="楷体" w:hAnsi="楷体" w:eastAsia="楷体"/>
        </w:rPr>
        <w:t>（二）制剂成型所用原料的性质和用量</w:t>
      </w:r>
    </w:p>
    <w:p>
      <w:pPr>
        <w:adjustRightInd w:val="0"/>
        <w:ind w:firstLine="624" w:firstLineChars="200"/>
      </w:pPr>
      <w:r>
        <w:rPr>
          <w:rFonts w:hint="eastAsia"/>
        </w:rPr>
        <w:t>中药民族药制剂有效成分复杂，各成分溶解性、稳定性以及在体内的吸收、分布、代谢、排泄过程各不相同，应根据药物的性质选择适宜的剂型。</w:t>
      </w:r>
    </w:p>
    <w:p>
      <w:pPr>
        <w:adjustRightInd w:val="0"/>
        <w:ind w:firstLine="624" w:firstLineChars="200"/>
      </w:pPr>
      <w:r>
        <w:rPr>
          <w:rFonts w:hint="eastAsia"/>
        </w:rPr>
        <w:t>选择剂型时应考虑处方量、制剂成型所用原料的量及性质、临床用药剂量以及不同剂型的载药量。</w:t>
      </w:r>
    </w:p>
    <w:p>
      <w:pPr>
        <w:adjustRightInd w:val="0"/>
        <w:ind w:firstLine="624" w:firstLineChars="200"/>
        <w:rPr>
          <w:rFonts w:ascii="楷体" w:hAnsi="楷体" w:eastAsia="楷体"/>
        </w:rPr>
      </w:pPr>
      <w:r>
        <w:rPr>
          <w:rFonts w:hint="eastAsia" w:ascii="楷体" w:hAnsi="楷体" w:eastAsia="楷体"/>
        </w:rPr>
        <w:t>（三）安全性</w:t>
      </w:r>
    </w:p>
    <w:p>
      <w:pPr>
        <w:adjustRightInd w:val="0"/>
        <w:ind w:firstLine="624" w:firstLineChars="200"/>
      </w:pPr>
      <w:r>
        <w:rPr>
          <w:rFonts w:hint="eastAsia"/>
        </w:rPr>
        <w:t>选择剂型时需充分考虑药物安全性。应关注剂型因素和给药途径可能产生的安全隐患（包括毒性和副作用）。</w:t>
      </w:r>
    </w:p>
    <w:p>
      <w:pPr>
        <w:adjustRightInd w:val="0"/>
        <w:ind w:firstLine="624" w:firstLineChars="200"/>
        <w:rPr>
          <w:rFonts w:ascii="楷体" w:hAnsi="楷体" w:eastAsia="楷体"/>
        </w:rPr>
      </w:pPr>
      <w:r>
        <w:rPr>
          <w:rFonts w:hint="eastAsia" w:ascii="楷体" w:hAnsi="楷体" w:eastAsia="楷体"/>
        </w:rPr>
        <w:t>（四）</w:t>
      </w:r>
      <w:r>
        <w:rPr>
          <w:rFonts w:ascii="楷体" w:hAnsi="楷体" w:eastAsia="楷体"/>
        </w:rPr>
        <w:t>制剂的规格设计</w:t>
      </w:r>
    </w:p>
    <w:p>
      <w:pPr>
        <w:adjustRightInd w:val="0"/>
        <w:ind w:firstLine="624" w:firstLineChars="200"/>
      </w:pPr>
      <w:r>
        <w:t>制剂的规格设计应与临床治疗剂量相匹配。</w:t>
      </w:r>
      <w:r>
        <w:rPr>
          <w:rFonts w:hint="eastAsia"/>
        </w:rPr>
        <w:t>一般单剂量制剂，选择规格应不得小于单次最小用量，不得大于单次最大用量。</w:t>
      </w:r>
    </w:p>
    <w:p>
      <w:pPr>
        <w:adjustRightInd w:val="0"/>
        <w:ind w:firstLine="624" w:firstLineChars="200"/>
      </w:pPr>
      <w:r>
        <w:rPr>
          <w:rFonts w:hint="eastAsia"/>
        </w:rPr>
        <w:t>根据所选择的剂型、药味理化性质设计工艺路线，医疗机构应具备与所选择配制剂型、规格、包装相适应的配制及包装条件和环境（委托配制的除外）。</w:t>
      </w:r>
    </w:p>
    <w:p>
      <w:pPr>
        <w:adjustRightInd w:val="0"/>
        <w:ind w:firstLine="624" w:firstLineChars="200"/>
        <w:rPr>
          <w:rFonts w:ascii="黑体" w:hAnsi="黑体" w:eastAsia="黑体"/>
        </w:rPr>
      </w:pPr>
      <w:r>
        <w:rPr>
          <w:rFonts w:hint="eastAsia" w:ascii="黑体" w:hAnsi="黑体" w:eastAsia="黑体"/>
        </w:rPr>
        <w:t>三、制剂原料的来源与前处理研究</w:t>
      </w:r>
    </w:p>
    <w:p>
      <w:pPr>
        <w:adjustRightInd w:val="0"/>
        <w:ind w:firstLine="624" w:firstLineChars="200"/>
        <w:rPr>
          <w:rFonts w:ascii="楷体" w:hAnsi="楷体" w:eastAsia="楷体"/>
        </w:rPr>
      </w:pPr>
      <w:r>
        <w:rPr>
          <w:rFonts w:hint="eastAsia" w:ascii="楷体" w:hAnsi="楷体" w:eastAsia="楷体"/>
        </w:rPr>
        <w:t>（一）原料</w:t>
      </w:r>
    </w:p>
    <w:p>
      <w:pPr>
        <w:adjustRightInd w:val="0"/>
        <w:ind w:firstLine="624" w:firstLineChars="200"/>
      </w:pPr>
      <w:r>
        <w:t>1.中药</w:t>
      </w:r>
      <w:r>
        <w:rPr>
          <w:rFonts w:hint="eastAsia"/>
        </w:rPr>
        <w:t>民族药</w:t>
      </w:r>
      <w:r>
        <w:t>制剂的原料应为</w:t>
      </w:r>
      <w:r>
        <w:rPr>
          <w:rFonts w:hint="eastAsia"/>
        </w:rPr>
        <w:t>中药民族药药材、饮片和提取物。</w:t>
      </w:r>
    </w:p>
    <w:p>
      <w:pPr>
        <w:adjustRightInd w:val="0"/>
        <w:ind w:firstLine="624" w:firstLineChars="200"/>
      </w:pPr>
      <w:r>
        <w:t>2.</w:t>
      </w:r>
      <w:r>
        <w:rPr>
          <w:rFonts w:hint="eastAsia"/>
        </w:rPr>
        <w:t>中药民族药药材、饮片应提供来源的相关证明性文件。实施批准文号管理的饮片必须具有批准文号。来自濒危物种的药材应符合国家相关规定，并特别注意来源的合法性。中药民族药药材原则上应固定基原、产地，鼓励使用道地药材；制剂中使用的原料应符合法定标准，包括《中国药典》、部颁标准、新疆维吾尔自治区药材标准及中药饮片炮制规范等。</w:t>
      </w:r>
    </w:p>
    <w:p>
      <w:pPr>
        <w:adjustRightInd w:val="0"/>
        <w:ind w:firstLine="624" w:firstLineChars="200"/>
      </w:pPr>
      <w:r>
        <w:t>3.中药</w:t>
      </w:r>
      <w:r>
        <w:rPr>
          <w:rFonts w:hint="eastAsia"/>
        </w:rPr>
        <w:t>民族药</w:t>
      </w:r>
      <w:r>
        <w:t>提取物可自行提取或购买。</w:t>
      </w:r>
      <w:r>
        <w:rPr>
          <w:rFonts w:hint="eastAsia"/>
        </w:rPr>
        <w:t>如为自行提取，应提供其制备方法、质量标准（若无国家药品标准，其提取物质量标准附在制剂质量标准后面同时申报）及相关研究资料；也可购买已有单独国家药品标准的提取物，应提供其来源的相关证明性文件和质量标准。</w:t>
      </w:r>
    </w:p>
    <w:p>
      <w:pPr>
        <w:adjustRightInd w:val="0"/>
        <w:ind w:firstLine="624" w:firstLineChars="200"/>
        <w:rPr>
          <w:rFonts w:ascii="楷体" w:hAnsi="楷体" w:eastAsia="楷体"/>
        </w:rPr>
      </w:pPr>
      <w:r>
        <w:rPr>
          <w:rFonts w:hint="eastAsia" w:ascii="楷体" w:hAnsi="楷体" w:eastAsia="楷体"/>
        </w:rPr>
        <w:t>（二）前处理</w:t>
      </w:r>
    </w:p>
    <w:p>
      <w:pPr>
        <w:adjustRightInd w:val="0"/>
        <w:ind w:firstLine="624" w:firstLineChars="200"/>
      </w:pPr>
      <w:r>
        <w:rPr>
          <w:rFonts w:hint="eastAsia"/>
        </w:rPr>
        <w:t>医疗机构如将中药民族药药材按法定标准或炮制规范炮制后投料，应明确饮片炮制方法、工艺参数、炮制设备、生产过程质量控制方法、批量、收率及包装、贮藏条件等。药材前处理方法包括：净制、切制、炮炙、灭菌等。饮片炮制研究应根据中医药（民族医药）理论、临床用药及制剂配制的需求，符合《中药新药用饮片炮制研究技术指导原则》相关要求。炮制技术应按《中国药典》《新疆维吾尔自治区中药饮片炮制规范》等要求进行，如采用未收载的炮制方法应提供方法来源及研究资料。</w:t>
      </w:r>
    </w:p>
    <w:p>
      <w:pPr>
        <w:adjustRightInd w:val="0"/>
        <w:ind w:firstLine="624" w:firstLineChars="200"/>
        <w:rPr>
          <w:rFonts w:ascii="黑体" w:hAnsi="黑体" w:eastAsia="黑体"/>
        </w:rPr>
      </w:pPr>
      <w:r>
        <w:rPr>
          <w:rFonts w:hint="eastAsia" w:ascii="黑体" w:hAnsi="黑体" w:eastAsia="黑体"/>
        </w:rPr>
        <w:t>四、制剂工艺研究</w:t>
      </w:r>
    </w:p>
    <w:p>
      <w:pPr>
        <w:adjustRightInd w:val="0"/>
        <w:ind w:firstLine="624" w:firstLineChars="200"/>
        <w:rPr>
          <w:rFonts w:ascii="楷体" w:hAnsi="楷体" w:eastAsia="楷体"/>
        </w:rPr>
      </w:pPr>
      <w:r>
        <w:rPr>
          <w:rFonts w:hint="eastAsia" w:ascii="楷体" w:hAnsi="楷体" w:eastAsia="楷体"/>
        </w:rPr>
        <w:t>（一）粉碎工艺研究</w:t>
      </w:r>
    </w:p>
    <w:p>
      <w:pPr>
        <w:adjustRightInd w:val="0"/>
        <w:ind w:firstLine="624" w:firstLineChars="200"/>
      </w:pPr>
      <w:r>
        <w:rPr>
          <w:rFonts w:hint="eastAsia"/>
        </w:rPr>
        <w:t>如需对饮片进行粉碎，应通过研究，明确饮片粉碎方法、设备及工艺参数，说明粉碎粒度要求和依据以及出粉率的合理性。含挥发性成分药材的粉碎应注意粉碎温度；含糖或胶质较多且质地柔软的饮片应注意粉碎方法；毒性药材应单独粉碎。</w:t>
      </w:r>
    </w:p>
    <w:p>
      <w:pPr>
        <w:adjustRightInd w:val="0"/>
        <w:ind w:firstLine="624" w:firstLineChars="200"/>
        <w:rPr>
          <w:rFonts w:ascii="楷体" w:hAnsi="楷体" w:eastAsia="楷体"/>
        </w:rPr>
      </w:pPr>
      <w:r>
        <w:rPr>
          <w:rFonts w:hint="eastAsia" w:ascii="楷体" w:hAnsi="楷体" w:eastAsia="楷体"/>
        </w:rPr>
        <w:t>（二）灭菌工艺研究</w:t>
      </w:r>
    </w:p>
    <w:p>
      <w:pPr>
        <w:adjustRightInd w:val="0"/>
        <w:ind w:firstLine="624" w:firstLineChars="200"/>
      </w:pPr>
      <w:r>
        <w:rPr>
          <w:rFonts w:hint="eastAsia"/>
        </w:rPr>
        <w:t>如需进行灭菌处理，应通过研究，选择合适的灭菌方式，明确工艺条件和参数等，确定相关质量控制要求。</w:t>
      </w:r>
    </w:p>
    <w:p>
      <w:pPr>
        <w:adjustRightInd w:val="0"/>
        <w:ind w:firstLine="624" w:firstLineChars="200"/>
        <w:rPr>
          <w:rFonts w:ascii="楷体" w:hAnsi="楷体" w:eastAsia="楷体"/>
        </w:rPr>
      </w:pPr>
      <w:r>
        <w:rPr>
          <w:rFonts w:hint="eastAsia" w:ascii="楷体" w:hAnsi="楷体" w:eastAsia="楷体"/>
        </w:rPr>
        <w:t>（三）提取纯化与浓缩干燥研究</w:t>
      </w:r>
    </w:p>
    <w:p>
      <w:pPr>
        <w:adjustRightInd w:val="0"/>
        <w:ind w:firstLine="624" w:firstLineChars="200"/>
      </w:pPr>
      <w:r>
        <w:rPr>
          <w:rFonts w:hint="eastAsia"/>
        </w:rPr>
        <w:t>为确保临床疗效、降低服用量、便于制剂成型等，一般需要经过提取纯化与浓缩干燥处理。研究过程中应注重中医组方配伍理论和临床传统应用经验、与药物有效性和安全性的关联性，关注组方药味相互作用，饮片、中间产物和终产品的量值传递；考虑规模化生产的可行性，以及节能降耗，环境友好等要求。</w:t>
      </w:r>
    </w:p>
    <w:p>
      <w:pPr>
        <w:adjustRightInd w:val="0"/>
        <w:ind w:firstLine="624" w:firstLineChars="200"/>
      </w:pPr>
      <w:r>
        <w:rPr>
          <w:rFonts w:hint="eastAsia"/>
        </w:rPr>
        <w:t>1．工艺路线选择</w:t>
      </w:r>
    </w:p>
    <w:p>
      <w:pPr>
        <w:adjustRightInd w:val="0"/>
        <w:ind w:firstLine="624" w:firstLineChars="200"/>
      </w:pPr>
      <w:r>
        <w:rPr>
          <w:rFonts w:hint="eastAsia"/>
        </w:rPr>
        <w:t>（1）提取工艺</w:t>
      </w:r>
    </w:p>
    <w:p>
      <w:pPr>
        <w:adjustRightInd w:val="0"/>
        <w:ind w:firstLine="624" w:firstLineChars="200"/>
      </w:pPr>
      <w:r>
        <w:rPr>
          <w:rFonts w:hint="eastAsia"/>
        </w:rPr>
        <w:t>应在充分理解中药传统应用方式（如合煎、分煎、先煎、后下等）的基础上，考虑饮片特点、有效成分性质以及剂型的要求，关注有效成分、有毒成分、浸出物的性质和其他质量属性的量值传递。提取工艺包括煎煮、回流、渗漉、浸泡、蒸馏等。提取溶剂一般应是水或醇。</w:t>
      </w:r>
    </w:p>
    <w:p>
      <w:pPr>
        <w:adjustRightInd w:val="0"/>
        <w:ind w:firstLine="624" w:firstLineChars="200"/>
      </w:pPr>
      <w:r>
        <w:rPr>
          <w:rFonts w:hint="eastAsia"/>
        </w:rPr>
        <w:t>（2）纯化工艺</w:t>
      </w:r>
    </w:p>
    <w:p>
      <w:pPr>
        <w:adjustRightInd w:val="0"/>
        <w:ind w:firstLine="624" w:firstLineChars="200"/>
      </w:pPr>
      <w:r>
        <w:rPr>
          <w:rFonts w:hint="eastAsia"/>
        </w:rPr>
        <w:t>可依据中药民族药传统用药经验或根据药物中已确认的一些有效成分的存在状态、极性、溶解性等设计科学、合理、稳定、可行的工艺。纯化工艺包括醇/水沉、滤过、离心等。</w:t>
      </w:r>
    </w:p>
    <w:p>
      <w:pPr>
        <w:adjustRightInd w:val="0"/>
        <w:ind w:firstLine="624" w:firstLineChars="200"/>
      </w:pPr>
      <w:r>
        <w:rPr>
          <w:rFonts w:hint="eastAsia"/>
        </w:rPr>
        <w:t>（3）浓缩与干燥工艺</w:t>
      </w:r>
    </w:p>
    <w:p>
      <w:pPr>
        <w:adjustRightInd w:val="0"/>
        <w:ind w:firstLine="624" w:firstLineChars="200"/>
      </w:pPr>
      <w:r>
        <w:rPr>
          <w:rFonts w:hint="eastAsia"/>
        </w:rPr>
        <w:t>依据物料的理化性质、制剂的要求，结合影响浓缩、干燥效果的因素，选择相应工艺，使所得产物达到要求的相对密度或含水量，以便于制剂成型。</w:t>
      </w:r>
    </w:p>
    <w:p>
      <w:pPr>
        <w:adjustRightInd w:val="0"/>
        <w:ind w:firstLine="624" w:firstLineChars="200"/>
      </w:pPr>
      <w:r>
        <w:t>2</w:t>
      </w:r>
      <w:r>
        <w:rPr>
          <w:rFonts w:hint="eastAsia"/>
        </w:rPr>
        <w:t>．</w:t>
      </w:r>
      <w:r>
        <w:t>工艺条件的优化</w:t>
      </w:r>
    </w:p>
    <w:p>
      <w:pPr>
        <w:adjustRightInd w:val="0"/>
        <w:ind w:firstLine="624" w:firstLineChars="200"/>
      </w:pPr>
      <w:r>
        <w:rPr>
          <w:rFonts w:hint="eastAsia"/>
        </w:rPr>
        <w:t>工艺条件的优选可采用经典的比较法，也可选用正交设计或其他科学的方法进行。应采用具有代表性、可量化的综合性评价指标。应根据具体品种的情况选择并固定工艺流程及其所用设备。工艺条件研究中应关注工艺参数与产品质量的关系，确定关键工艺参数及范围。</w:t>
      </w:r>
    </w:p>
    <w:p>
      <w:pPr>
        <w:adjustRightInd w:val="0"/>
        <w:ind w:firstLine="624" w:firstLineChars="200"/>
      </w:pPr>
      <w:r>
        <w:rPr>
          <w:rFonts w:hint="eastAsia"/>
        </w:rPr>
        <w:t>（</w:t>
      </w:r>
      <w:r>
        <w:t>1）提取工艺</w:t>
      </w:r>
    </w:p>
    <w:p>
      <w:pPr>
        <w:adjustRightInd w:val="0"/>
        <w:ind w:firstLine="624" w:firstLineChars="200"/>
      </w:pPr>
      <w:r>
        <w:t>一般对溶媒种类（包括浓度）、溶媒用量</w:t>
      </w:r>
      <w:r>
        <w:rPr>
          <w:rFonts w:hint="eastAsia"/>
        </w:rPr>
        <w:t>、</w:t>
      </w:r>
      <w:r>
        <w:t>提取时间</w:t>
      </w:r>
      <w:r>
        <w:rPr>
          <w:rFonts w:hint="eastAsia"/>
        </w:rPr>
        <w:t>、温度</w:t>
      </w:r>
      <w:r>
        <w:t>及次数等进行考察。对渗漉提取法，可用渗漉收集量的考察代替溶媒用量的考察。</w:t>
      </w:r>
    </w:p>
    <w:p>
      <w:pPr>
        <w:adjustRightInd w:val="0"/>
        <w:ind w:firstLine="624" w:firstLineChars="200"/>
      </w:pPr>
      <w:r>
        <w:rPr>
          <w:rFonts w:hint="eastAsia"/>
        </w:rPr>
        <w:t>（</w:t>
      </w:r>
      <w:r>
        <w:t>2）纯化工艺</w:t>
      </w:r>
    </w:p>
    <w:p>
      <w:pPr>
        <w:adjustRightInd w:val="0"/>
        <w:ind w:firstLine="624" w:firstLineChars="200"/>
      </w:pPr>
      <w:r>
        <w:t>醇/水沉工艺需考察醇/水沉前</w:t>
      </w:r>
      <w:r>
        <w:rPr>
          <w:rFonts w:hint="eastAsia"/>
        </w:rPr>
        <w:t>药液的相对</w:t>
      </w:r>
      <w:r>
        <w:t>密度</w:t>
      </w:r>
      <w:r>
        <w:rPr>
          <w:rFonts w:hint="eastAsia"/>
        </w:rPr>
        <w:t>（</w:t>
      </w:r>
      <w:r>
        <w:t>标注</w:t>
      </w:r>
      <w:r>
        <w:rPr>
          <w:rFonts w:hint="eastAsia"/>
        </w:rPr>
        <w:t>测定时</w:t>
      </w:r>
      <w:r>
        <w:t>温度）、醇沉</w:t>
      </w:r>
      <w:r>
        <w:rPr>
          <w:rFonts w:hint="eastAsia"/>
        </w:rPr>
        <w:t>含醇量</w:t>
      </w:r>
      <w:r>
        <w:t>/水沉加水量、醇/水沉</w:t>
      </w:r>
      <w:r>
        <w:rPr>
          <w:rFonts w:hint="eastAsia"/>
        </w:rPr>
        <w:t>温度、</w:t>
      </w:r>
      <w:r>
        <w:t>时间等</w:t>
      </w:r>
      <w:r>
        <w:rPr>
          <w:rFonts w:hint="eastAsia"/>
        </w:rPr>
        <w:t>；滤过和离心工艺需确定滤过方式、滤材材质、孔径、过滤次数、离心机转速等。</w:t>
      </w:r>
    </w:p>
    <w:p>
      <w:pPr>
        <w:adjustRightInd w:val="0"/>
        <w:ind w:firstLine="624" w:firstLineChars="200"/>
      </w:pPr>
      <w:r>
        <w:rPr>
          <w:rFonts w:hint="eastAsia"/>
        </w:rPr>
        <w:t>（</w:t>
      </w:r>
      <w:r>
        <w:t>3）浓缩与干燥工艺</w:t>
      </w:r>
    </w:p>
    <w:p>
      <w:pPr>
        <w:adjustRightInd w:val="0"/>
        <w:ind w:firstLine="624" w:firstLineChars="200"/>
      </w:pPr>
      <w:r>
        <w:rPr>
          <w:rFonts w:hint="eastAsia" w:ascii="宋体" w:hAnsi="宋体" w:eastAsia="宋体" w:cs="宋体"/>
        </w:rPr>
        <w:t>①</w:t>
      </w:r>
      <w:r>
        <w:t>对含有热不稳定成分、易熔化物料的浓缩与干燥，尤其需要注意方法的选择，以保证浓缩物或干燥物的质量。</w:t>
      </w:r>
    </w:p>
    <w:p>
      <w:pPr>
        <w:adjustRightInd w:val="0"/>
        <w:ind w:firstLine="624" w:firstLineChars="200"/>
      </w:pPr>
      <w:r>
        <w:rPr>
          <w:rFonts w:hint="eastAsia" w:ascii="宋体" w:hAnsi="宋体" w:eastAsia="宋体" w:cs="宋体"/>
        </w:rPr>
        <w:t>②</w:t>
      </w:r>
      <w:r>
        <w:rPr>
          <w:rFonts w:hint="eastAsia"/>
        </w:rPr>
        <w:t>对受热时间长、能耗高、效率低的浓缩干燥方法，宜慎重选择使用。</w:t>
      </w:r>
    </w:p>
    <w:p>
      <w:pPr>
        <w:adjustRightInd w:val="0"/>
        <w:ind w:firstLine="624" w:firstLineChars="200"/>
        <w:rPr>
          <w:rFonts w:ascii="楷体" w:hAnsi="楷体" w:eastAsia="楷体"/>
        </w:rPr>
      </w:pPr>
      <w:r>
        <w:rPr>
          <w:rFonts w:hint="eastAsia" w:ascii="楷体" w:hAnsi="楷体" w:eastAsia="楷体"/>
        </w:rPr>
        <w:t>（四）成型研究</w:t>
      </w:r>
    </w:p>
    <w:p>
      <w:pPr>
        <w:adjustRightInd w:val="0"/>
        <w:ind w:firstLine="624" w:firstLineChars="200"/>
      </w:pPr>
      <w:r>
        <w:rPr>
          <w:rFonts w:hint="eastAsia"/>
        </w:rPr>
        <w:t>制剂成型工艺应根据提取、纯化、浓缩等工艺后用于制剂成型的中间产物性质和用量，结合适应症特点、用药经验、剂型特点等，选择适宜的剂型、生产工艺及设备。成型工艺的优化，应重点描述工艺研究的主要变化（包括批量、设备、工艺参数等）及相关的支持性验证研究。</w:t>
      </w:r>
    </w:p>
    <w:p>
      <w:pPr>
        <w:adjustRightInd w:val="0"/>
        <w:ind w:firstLine="624" w:firstLineChars="200"/>
      </w:pPr>
      <w:r>
        <w:rPr>
          <w:rFonts w:hint="eastAsia"/>
        </w:rPr>
        <w:t>1．制剂处方研究</w:t>
      </w:r>
    </w:p>
    <w:p>
      <w:pPr>
        <w:adjustRightInd w:val="0"/>
        <w:ind w:firstLine="624" w:firstLineChars="200"/>
      </w:pPr>
      <w:r>
        <w:rPr>
          <w:rFonts w:hint="eastAsia"/>
        </w:rPr>
        <w:t>制剂处方研究是根据用于制剂成型的中间产物性质、剂型特点、临床用药要求等，筛选适宜的辅料品种及用量，确定制剂处方的过程。</w:t>
      </w:r>
    </w:p>
    <w:p>
      <w:pPr>
        <w:adjustRightInd w:val="0"/>
        <w:ind w:firstLine="624" w:firstLineChars="200"/>
      </w:pPr>
      <w:r>
        <w:rPr>
          <w:rFonts w:hint="eastAsia"/>
        </w:rPr>
        <w:t>（1）用于制剂成型的中间产物研究</w:t>
      </w:r>
    </w:p>
    <w:p>
      <w:pPr>
        <w:adjustRightInd w:val="0"/>
        <w:ind w:firstLine="624" w:firstLineChars="200"/>
      </w:pPr>
      <w:r>
        <w:rPr>
          <w:rFonts w:hint="eastAsia"/>
        </w:rPr>
        <w:t>应研究用于制剂成型的中间产物的性质。用于制备口服液体制剂的中间产物，应主要研究其溶解性、酸碱性、稳定性以及嗅、味等。</w:t>
      </w:r>
    </w:p>
    <w:p>
      <w:pPr>
        <w:adjustRightInd w:val="0"/>
        <w:ind w:firstLine="624" w:firstLineChars="200"/>
      </w:pPr>
      <w:r>
        <w:rPr>
          <w:rFonts w:hint="eastAsia"/>
        </w:rPr>
        <w:t>（</w:t>
      </w:r>
      <w:r>
        <w:t>2）</w:t>
      </w:r>
      <w:r>
        <w:rPr>
          <w:rFonts w:hint="eastAsia"/>
        </w:rPr>
        <w:t>辅料的选择</w:t>
      </w:r>
    </w:p>
    <w:p>
      <w:pPr>
        <w:adjustRightInd w:val="0"/>
        <w:ind w:firstLine="624" w:firstLineChars="200"/>
      </w:pPr>
      <w:r>
        <w:rPr>
          <w:rFonts w:hint="eastAsia"/>
        </w:rPr>
        <w:t>①</w:t>
      </w:r>
      <w:r>
        <w:t>辅料是制剂</w:t>
      </w:r>
      <w:r>
        <w:rPr>
          <w:rFonts w:hint="eastAsia"/>
        </w:rPr>
        <w:t>中</w:t>
      </w:r>
      <w:r>
        <w:t>除主药以外</w:t>
      </w:r>
      <w:r>
        <w:rPr>
          <w:rFonts w:hint="eastAsia"/>
        </w:rPr>
        <w:t>其他</w:t>
      </w:r>
      <w:r>
        <w:t>物料的统称。</w:t>
      </w:r>
      <w:r>
        <w:rPr>
          <w:rFonts w:hint="eastAsia"/>
        </w:rPr>
        <w:t>辅料选择一般应考虑以下原则：满足制剂成型、稳定、作用特点的要求，不与药物发生不良相互作用，尽量避免影响制剂的检测。考虑适用人群、制剂的特点，需要减少服用量及提高用药顺应性，制剂处方应能在尽可能少的辅料用量下获得良好的制剂成型性。</w:t>
      </w:r>
    </w:p>
    <w:p>
      <w:pPr>
        <w:adjustRightInd w:val="0"/>
        <w:ind w:firstLine="624" w:firstLineChars="200"/>
      </w:pPr>
      <w:r>
        <w:rPr>
          <w:rFonts w:hint="eastAsia"/>
        </w:rPr>
        <w:t>②辅料的理化性质包括分子量及其分布、取代度、粘度、性状、粒度及其分布、吸湿性、溶解性、流动性、水分、pH值等。辅料理化性质的变化影响制剂的关键特性，因此需要结合辅料在处方中的作用、制剂的特点及制剂给药途径，分析哪些性质会影响制剂的关键特性，如果研究证实这些参数对保证制剂关键特性非常重要时，应制订或完善相应的质控指标并规定限度。注意选择适宜的供货来源，明确辅料的规格、型号。</w:t>
      </w:r>
    </w:p>
    <w:p>
      <w:pPr>
        <w:adjustRightInd w:val="0"/>
        <w:ind w:firstLine="624" w:firstLineChars="200"/>
      </w:pPr>
      <w:r>
        <w:rPr>
          <w:rFonts w:hint="eastAsia"/>
        </w:rPr>
        <w:t>③可以通过检索国内外的权威数据库，了解所考察辅料的合理使用情况。了解辅料在制剂中的给药途径及其合理用量范围是处方前研究工作的一项重要内容，这些信息可以为处方设计提供科学的依据。</w:t>
      </w:r>
    </w:p>
    <w:p>
      <w:pPr>
        <w:adjustRightInd w:val="0"/>
        <w:ind w:firstLine="624" w:firstLineChars="200"/>
      </w:pPr>
      <w:r>
        <w:rPr>
          <w:rFonts w:hint="eastAsia"/>
        </w:rPr>
        <w:t>④所用辅料一般应符合药用要求。应提供合法来源证明性文件（批准文号或登记号）、质量标准、检验报告书、生产企业资质文件等复印件。</w:t>
      </w:r>
    </w:p>
    <w:p>
      <w:pPr>
        <w:adjustRightInd w:val="0"/>
        <w:ind w:firstLine="624" w:firstLineChars="200"/>
      </w:pPr>
      <w:r>
        <w:rPr>
          <w:rFonts w:hint="eastAsia"/>
        </w:rPr>
        <w:t>（</w:t>
      </w:r>
      <w:r>
        <w:t>3）制剂处方筛选研究</w:t>
      </w:r>
    </w:p>
    <w:p>
      <w:pPr>
        <w:adjustRightInd w:val="0"/>
        <w:ind w:firstLine="624" w:firstLineChars="200"/>
      </w:pPr>
      <w:r>
        <w:rPr>
          <w:rFonts w:hint="eastAsia"/>
        </w:rPr>
        <w:t>制剂处方筛选研究应考虑以下因素：临床用药的要求、用于制剂成型的中间产物和辅料的性质、剂型特点等。通过处方筛选研究，初步确定制剂处方组成，明确所用辅料的种类、型号、规格、用量等；制剂处方量应以</w:t>
      </w:r>
      <w:r>
        <w:t>1000个制剂单位（片、粒、克、毫升等）计，并明确辅料名称及用量。</w:t>
      </w:r>
    </w:p>
    <w:p>
      <w:pPr>
        <w:adjustRightInd w:val="0"/>
        <w:ind w:firstLine="624" w:firstLineChars="200"/>
      </w:pPr>
      <w:r>
        <w:t>2.制剂成型工艺研究</w:t>
      </w:r>
    </w:p>
    <w:p>
      <w:pPr>
        <w:adjustRightInd w:val="0"/>
        <w:ind w:firstLine="624" w:firstLineChars="200"/>
      </w:pPr>
      <w:r>
        <w:rPr>
          <w:rFonts w:hint="eastAsia"/>
        </w:rPr>
        <w:t>通过制剂成型研究进一步改进和完善处方设计，最终确定制剂处方、工艺和设备，并关注制剂的稳定性。</w:t>
      </w:r>
    </w:p>
    <w:p>
      <w:pPr>
        <w:adjustRightInd w:val="0"/>
        <w:ind w:firstLine="624" w:firstLineChars="200"/>
      </w:pPr>
      <w:r>
        <w:rPr>
          <w:rFonts w:hint="eastAsia"/>
        </w:rPr>
        <w:t>制剂成型工艺研究一般应考虑成型工艺路线和制备技术的选择，应注意实验室条件与中试和配制的桥接，考虑大生产制剂设备的可行性、适应性。对单元操作或关键工艺应进行考察。应研究各工序技术条件，确定详细的制剂成型工艺流程。在制剂生产过程中，对于含有有毒药物以及用量小而活性强的药物，应特别注意其均匀性，说明均匀性控制的方法。</w:t>
      </w:r>
    </w:p>
    <w:p>
      <w:pPr>
        <w:adjustRightInd w:val="0"/>
        <w:ind w:firstLine="624" w:firstLineChars="200"/>
        <w:rPr>
          <w:rFonts w:ascii="楷体" w:hAnsi="楷体" w:eastAsia="楷体"/>
        </w:rPr>
      </w:pPr>
      <w:r>
        <w:rPr>
          <w:rFonts w:hint="eastAsia" w:ascii="楷体" w:hAnsi="楷体" w:eastAsia="楷体"/>
        </w:rPr>
        <w:t>（五）中试研究</w:t>
      </w:r>
    </w:p>
    <w:p>
      <w:pPr>
        <w:adjustRightInd w:val="0"/>
        <w:ind w:firstLine="624" w:firstLineChars="200"/>
      </w:pPr>
      <w:r>
        <w:rPr>
          <w:rFonts w:hint="eastAsia"/>
        </w:rPr>
        <w:t>中试研究是指在实验室完成系列工艺研究后，采用基本与临床使用规模配制相符的条件进行工艺放大研究的过程，至少为处方量的10倍以上。必要时应对处方、工艺、设备等进行适当的调整，并提供变化的原因及相关的支持性依据，注意研究数据的积累，包括批号、投料量、出膏率、半成品量、辅料量、成品量、成品率、量值传递相关性和转移率范围等。</w:t>
      </w:r>
    </w:p>
    <w:p>
      <w:pPr>
        <w:adjustRightInd w:val="0"/>
        <w:ind w:firstLine="624" w:firstLineChars="200"/>
        <w:rPr>
          <w:rFonts w:ascii="楷体" w:hAnsi="楷体" w:eastAsia="楷体"/>
        </w:rPr>
      </w:pPr>
      <w:r>
        <w:rPr>
          <w:rFonts w:hint="eastAsia" w:ascii="楷体" w:hAnsi="楷体" w:eastAsia="楷体"/>
        </w:rPr>
        <w:t>（六）临床使用规模配制研究</w:t>
      </w:r>
    </w:p>
    <w:p>
      <w:pPr>
        <w:adjustRightInd w:val="0"/>
        <w:ind w:firstLine="624" w:firstLineChars="200"/>
      </w:pPr>
      <w:r>
        <w:rPr>
          <w:rFonts w:hint="eastAsia"/>
        </w:rPr>
        <w:t>工艺研究重点考察在规模化条件下，产品质量的均一性、稳定性，特别是与临床试验用样品质量的一致性，并进行对比与评估。通过研究，明确适于临床使用规模配制的所有工艺步骤及其工艺参数控制范围，明确质量风险点，保障工艺稳健、环保、经济。相关记录应完善、规范、可追溯。关注配制规模与设备的匹配性、生产各环节的流畅与便捷。</w:t>
      </w:r>
    </w:p>
    <w:p>
      <w:pPr>
        <w:adjustRightInd w:val="0"/>
        <w:ind w:firstLine="624" w:firstLineChars="200"/>
        <w:rPr>
          <w:rFonts w:ascii="楷体" w:hAnsi="楷体" w:eastAsia="楷体"/>
        </w:rPr>
      </w:pPr>
      <w:r>
        <w:rPr>
          <w:rFonts w:hint="eastAsia" w:ascii="楷体" w:hAnsi="楷体" w:eastAsia="楷体"/>
        </w:rPr>
        <w:t>（七）工艺验证研究</w:t>
      </w:r>
    </w:p>
    <w:p>
      <w:pPr>
        <w:adjustRightInd w:val="0"/>
        <w:ind w:firstLine="624" w:firstLineChars="200"/>
      </w:pPr>
      <w:r>
        <w:rPr>
          <w:rFonts w:hint="eastAsia"/>
        </w:rPr>
        <w:t>工艺验证的生产环境要符合《医疗机构制剂配制质量管理规范》的要求，生产设备要与拟定的临床使用配制规模相匹配。</w:t>
      </w:r>
    </w:p>
    <w:p>
      <w:pPr>
        <w:adjustRightInd w:val="0"/>
        <w:ind w:firstLine="624" w:firstLineChars="200"/>
      </w:pPr>
      <w:r>
        <w:rPr>
          <w:rFonts w:hint="eastAsia"/>
        </w:rPr>
        <w:t>进行工艺验证时，应进行工艺验证方案的设计，按验证方案进行验证。验证结束后应形成工艺验证报告。应针对临床使用配制规模，选择适宜的指标，设计工艺验证方案，考察在拟定的临床使用配制规模以及工艺条件和参数下，人员、设备、材料、生产环境、管控措施等各方面对产品质量带来的影响。若拟定了设计空间或工艺参数范围，工艺验证中应对拟定设计空间或工艺参数范围的极值进行考察，验证工艺的可行性和产品质量的一致性。</w:t>
      </w:r>
    </w:p>
    <w:p>
      <w:pPr>
        <w:adjustRightInd w:val="0"/>
        <w:ind w:firstLine="624" w:firstLineChars="200"/>
      </w:pPr>
      <w:r>
        <w:rPr>
          <w:rFonts w:hint="eastAsia"/>
        </w:rPr>
        <w:t>工艺验证方案应包括目的、范围、职责分工与时间计划、概述（使用的验证方法的描述及对所选方法的说明、产品描述、工艺流程图、关键工艺步骤以及关键工艺参数等）、验证前的检查（所需文件的确认、人员培训的确认、参与验证的设备和设施列表及设备设施的确认、仪器仪表校验的确认等）、验证内容（关键工艺参数和操作范围、取样计划、中间体和成品的质量检测方法及检测值、出膏率、有效或指标成分含量测定及转移率、浸出物等）、记录和评估结果的方法等。工艺验证报告内容应包括验证目的和范围、实验实施的描述、结果总结与分析、结论、偏差和纠正措施、附件（包括原始数据）、参考资料（包括验证方案文件编号和版本号）、对缺陷进行的纠正与预防措施。</w:t>
      </w:r>
    </w:p>
    <w:p>
      <w:pPr>
        <w:adjustRightInd w:val="0"/>
        <w:ind w:firstLine="624" w:firstLineChars="200"/>
        <w:rPr>
          <w:rFonts w:ascii="楷体" w:hAnsi="楷体" w:eastAsia="楷体"/>
        </w:rPr>
      </w:pPr>
      <w:r>
        <w:rPr>
          <w:rFonts w:hint="eastAsia" w:ascii="楷体" w:hAnsi="楷体" w:eastAsia="楷体"/>
        </w:rPr>
        <w:t>（八）研究数据的汇总和积累</w:t>
      </w:r>
    </w:p>
    <w:p>
      <w:pPr>
        <w:adjustRightInd w:val="0"/>
        <w:ind w:firstLine="624" w:firstLineChars="200"/>
      </w:pPr>
      <w:r>
        <w:t>工艺研究过程提供了丰富的实验数据和信息。对这些数据的分析，对确定制剂</w:t>
      </w:r>
      <w:r>
        <w:rPr>
          <w:rFonts w:hint="eastAsia"/>
        </w:rPr>
        <w:t>的关键工艺和关键工艺参数、建立相应的控制指标、保证制剂配制和质量的重现性有重要意义。工艺研究数据主要包括以下内容：（1）原料药及辅料情况（如来源、规格、质量标准、用量等）；（2）工艺步骤及参数；（3）关键工艺参数及范围；（4）主要生产设备（种类、厂家/型号）；（5）制备规模；（6）批分析汇总（如批号、配制时间及地点、批规模、用途、分析结果（如出膏率、含量、转移率、浸出物、成品率等））；（7）样品检验报告等。</w:t>
      </w:r>
    </w:p>
    <w:p>
      <w:pPr>
        <w:adjustRightInd w:val="0"/>
        <w:ind w:firstLine="624" w:firstLineChars="200"/>
        <w:rPr>
          <w:rFonts w:ascii="黑体" w:hAnsi="黑体" w:eastAsia="黑体"/>
        </w:rPr>
      </w:pPr>
      <w:r>
        <w:rPr>
          <w:rFonts w:hint="eastAsia" w:ascii="黑体" w:hAnsi="黑体" w:eastAsia="黑体"/>
        </w:rPr>
        <w:t>五、直接接触制剂的包装材料（容器）的选择</w:t>
      </w:r>
    </w:p>
    <w:p>
      <w:pPr>
        <w:adjustRightInd w:val="0"/>
        <w:ind w:firstLine="624" w:firstLineChars="200"/>
      </w:pPr>
      <w:r>
        <w:rPr>
          <w:rFonts w:hint="eastAsia"/>
        </w:rPr>
        <w:t>直接接触制剂的包装材料（容器）是制剂的组成部分。应参照《中国药典》四部“药包材通用要求指导原则”；“药用玻璃材料和容器指导原则”等技术指导原则，应对同类药品及其包装材料进行相应的文献调研，证明选择的可行性，并结合制剂的影响因素及稳定性研究结果进行选择。</w:t>
      </w:r>
    </w:p>
    <w:p>
      <w:pPr>
        <w:adjustRightInd w:val="0"/>
        <w:ind w:firstLine="624" w:firstLineChars="200"/>
      </w:pPr>
      <w:r>
        <w:rPr>
          <w:rFonts w:hint="eastAsia"/>
        </w:rPr>
        <w:t>直接接触药品的包装材料和容器，应符合《国家药包材标准》要求。应有合格稳定的供应商，并提供合法来源证明性文件（注册证号或登记号）、质量标准、检验报告书、生产企业资质文件等复印件。</w:t>
      </w:r>
    </w:p>
    <w:p>
      <w:pPr>
        <w:adjustRightInd w:val="0"/>
        <w:ind w:firstLine="624" w:firstLineChars="200"/>
      </w:pPr>
      <w:r>
        <w:rPr>
          <w:rFonts w:hint="eastAsia"/>
        </w:rPr>
        <w:t>包装材料（容器）的选择应考虑以下几个方面：</w:t>
      </w:r>
    </w:p>
    <w:p>
      <w:pPr>
        <w:adjustRightInd w:val="0"/>
        <w:ind w:firstLine="624" w:firstLineChars="200"/>
      </w:pPr>
      <w:r>
        <w:t>1</w:t>
      </w:r>
      <w:r>
        <w:rPr>
          <w:rFonts w:hint="eastAsia"/>
        </w:rPr>
        <w:t>．需有助于保证制剂质量在一定时间内保持稳定。对于光照或高湿条件下不稳定的制剂，可以考虑选择避光或防潮性能好的包装材料和容器。</w:t>
      </w:r>
    </w:p>
    <w:p>
      <w:pPr>
        <w:adjustRightInd w:val="0"/>
        <w:ind w:firstLine="624" w:firstLineChars="200"/>
      </w:pPr>
      <w:r>
        <w:t>2</w:t>
      </w:r>
      <w:r>
        <w:rPr>
          <w:rFonts w:hint="eastAsia"/>
        </w:rPr>
        <w:t>．包装材料（容器）和制剂应有良好的相容性。必要时进行相容性研究，研究可参考有关指导原则。特别是含有有机溶剂的液体制剂或半固体制剂。特定剂型在包装材料的选择研究中，除应进行稳定性试验需要进行的项目外，还应增加相应的特殊考察项目。</w:t>
      </w:r>
    </w:p>
    <w:p>
      <w:pPr>
        <w:adjustRightInd w:val="0"/>
        <w:ind w:firstLine="624" w:firstLineChars="200"/>
      </w:pPr>
      <w:r>
        <w:t>3</w:t>
      </w:r>
      <w:r>
        <w:rPr>
          <w:rFonts w:hint="eastAsia"/>
        </w:rPr>
        <w:t>．应与制剂工艺相适应。</w:t>
      </w:r>
    </w:p>
    <w:p>
      <w:pPr>
        <w:adjustRightInd w:val="0"/>
        <w:ind w:firstLine="624" w:firstLineChars="200"/>
      </w:pPr>
      <w:r>
        <w:t>4</w:t>
      </w:r>
      <w:r>
        <w:rPr>
          <w:rFonts w:hint="eastAsia"/>
        </w:rPr>
        <w:t>．对定量给药装置，应能保证定量给药的准确性和重现性。</w:t>
      </w:r>
    </w:p>
    <w:p>
      <w:pPr>
        <w:adjustRightInd w:val="0"/>
        <w:ind w:firstLine="624" w:firstLineChars="200"/>
      </w:pPr>
      <w:r>
        <w:t>5</w:t>
      </w:r>
      <w:r>
        <w:rPr>
          <w:rFonts w:hint="eastAsia"/>
        </w:rPr>
        <w:t>．对于适用于老人和儿童的包装应尽量采用友好和保护性的包装容器和材料，即采用特殊的开启方式。</w:t>
      </w:r>
    </w:p>
    <w:p>
      <w:pPr>
        <w:adjustRightInd w:val="0"/>
        <w:ind w:firstLine="624" w:firstLineChars="200"/>
        <w:rPr>
          <w:rFonts w:ascii="黑体" w:hAnsi="黑体" w:eastAsia="黑体"/>
        </w:rPr>
      </w:pPr>
      <w:r>
        <w:rPr>
          <w:rFonts w:hint="eastAsia" w:ascii="黑体" w:hAnsi="黑体" w:eastAsia="黑体"/>
        </w:rPr>
        <w:t>六、无菌制剂的要求</w:t>
      </w:r>
    </w:p>
    <w:p>
      <w:pPr>
        <w:adjustRightInd w:val="0"/>
        <w:ind w:firstLine="624" w:firstLineChars="200"/>
      </w:pPr>
      <w:r>
        <w:rPr>
          <w:rFonts w:hint="eastAsia"/>
        </w:rPr>
        <w:t>眼用制剂、烧伤（程度较轻的1度或2度除外）或严重创伤用制剂等为无菌制剂，在配制工艺研究时，应进行无菌验证。</w:t>
      </w:r>
    </w:p>
    <w:p>
      <w:pPr>
        <w:adjustRightInd w:val="0"/>
        <w:ind w:firstLine="624" w:firstLineChars="200"/>
        <w:rPr>
          <w:rFonts w:ascii="黑体" w:hAnsi="黑体" w:eastAsia="黑体"/>
        </w:rPr>
      </w:pPr>
      <w:r>
        <w:rPr>
          <w:rFonts w:hint="eastAsia" w:ascii="黑体" w:hAnsi="黑体" w:eastAsia="黑体"/>
        </w:rPr>
        <w:t>七、附注</w:t>
      </w:r>
    </w:p>
    <w:p>
      <w:pPr>
        <w:adjustRightInd w:val="0"/>
        <w:ind w:firstLine="624" w:firstLineChars="200"/>
      </w:pPr>
      <w:r>
        <w:rPr>
          <w:rFonts w:hint="eastAsia"/>
        </w:rPr>
        <w:t>使用传统工艺配制的中药民族药制剂和已有法定标准的中药民族药制剂，可简化工艺研究的资料，但处方、制法、工艺流程图、中试研究资料应符合上述要求，应明确关键工艺参数及配制设备。</w:t>
      </w:r>
    </w:p>
    <w:p>
      <w:pPr>
        <w:adjustRightInd w:val="0"/>
      </w:pPr>
    </w:p>
    <w:p>
      <w:pPr>
        <w:adjustRightInd w:val="0"/>
      </w:pPr>
    </w:p>
    <w:p>
      <w:pPr>
        <w:adjustRightInd w:val="0"/>
      </w:pPr>
    </w:p>
    <w:p>
      <w:pPr>
        <w:adjustRightInd w:val="0"/>
      </w:pPr>
    </w:p>
    <w:p>
      <w:pPr>
        <w:adjustRightInd w:val="0"/>
      </w:pPr>
    </w:p>
    <w:p>
      <w:pPr>
        <w:adjustRightInd w:val="0"/>
      </w:pPr>
    </w:p>
    <w:p>
      <w:pPr>
        <w:adjustRightInd w:val="0"/>
      </w:pPr>
    </w:p>
    <w:p>
      <w:pPr>
        <w:adjustRightInd w:val="0"/>
      </w:pPr>
    </w:p>
    <w:p>
      <w:pPr>
        <w:adjustRightInd w:val="0"/>
      </w:pPr>
    </w:p>
    <w:p>
      <w:pPr>
        <w:adjustRightInd w:val="0"/>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r>
        <w:t>附表</w:t>
      </w:r>
    </w:p>
    <w:p>
      <w:pPr>
        <w:adjustRightInd w:val="0"/>
      </w:pPr>
    </w:p>
    <w:p>
      <w:pPr>
        <w:adjustRightInd w:val="0"/>
        <w:spacing w:line="560" w:lineRule="exact"/>
        <w:jc w:val="center"/>
        <w:rPr>
          <w:rFonts w:ascii="方正小标宋_GBK" w:eastAsia="方正小标宋_GBK"/>
          <w:sz w:val="44"/>
          <w:szCs w:val="44"/>
        </w:rPr>
      </w:pPr>
      <w:r>
        <w:rPr>
          <w:rFonts w:ascii="方正小标宋_GBK" w:eastAsia="方正小标宋_GBK"/>
          <w:sz w:val="44"/>
          <w:szCs w:val="44"/>
        </w:rPr>
        <w:t>中药制剂配制工艺主要研究项目</w:t>
      </w:r>
    </w:p>
    <w:p>
      <w:pPr>
        <w:adjustRightInd w:val="0"/>
        <w:spacing w:line="560" w:lineRule="exact"/>
        <w:jc w:val="center"/>
        <w:rPr>
          <w:rFonts w:ascii="方正小标宋_GBK" w:eastAsia="方正小标宋_GBK"/>
          <w:sz w:val="44"/>
          <w:szCs w:val="44"/>
        </w:rPr>
      </w:pPr>
      <w:r>
        <w:rPr>
          <w:rFonts w:ascii="方正小标宋_GBK" w:eastAsia="方正小标宋_GBK"/>
          <w:sz w:val="44"/>
          <w:szCs w:val="44"/>
        </w:rPr>
        <w:t>及基本内容和评价指标</w:t>
      </w:r>
    </w:p>
    <w:tbl>
      <w:tblPr>
        <w:tblStyle w:val="7"/>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815"/>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ascii="黑体" w:hAnsi="黑体" w:eastAsia="黑体"/>
                <w:kern w:val="0"/>
                <w:sz w:val="28"/>
                <w:szCs w:val="28"/>
              </w:rPr>
            </w:pPr>
            <w:r>
              <w:rPr>
                <w:rFonts w:ascii="黑体" w:hAnsi="黑体" w:eastAsia="黑体"/>
                <w:kern w:val="0"/>
                <w:sz w:val="28"/>
                <w:szCs w:val="28"/>
              </w:rPr>
              <w:t>主要研究项目</w:t>
            </w:r>
          </w:p>
        </w:tc>
        <w:tc>
          <w:tcPr>
            <w:tcW w:w="6973" w:type="dxa"/>
            <w:vAlign w:val="center"/>
          </w:tcPr>
          <w:p>
            <w:pPr>
              <w:widowControl/>
              <w:adjustRightInd w:val="0"/>
              <w:snapToGrid w:val="0"/>
              <w:jc w:val="center"/>
              <w:rPr>
                <w:rFonts w:ascii="黑体" w:hAnsi="黑体" w:eastAsia="黑体"/>
                <w:kern w:val="0"/>
                <w:sz w:val="28"/>
                <w:szCs w:val="28"/>
              </w:rPr>
            </w:pPr>
            <w:r>
              <w:rPr>
                <w:rFonts w:ascii="黑体" w:hAnsi="黑体" w:eastAsia="黑体"/>
                <w:kern w:val="0"/>
                <w:sz w:val="28"/>
                <w:szCs w:val="28"/>
              </w:rPr>
              <w:t>基本内容和评价指标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Ansi="仿宋"/>
                <w:kern w:val="0"/>
                <w:sz w:val="28"/>
                <w:szCs w:val="28"/>
              </w:rPr>
            </w:pPr>
            <w:r>
              <w:rPr>
                <w:rFonts w:hint="eastAsia" w:hAnsi="仿宋"/>
                <w:kern w:val="0"/>
                <w:sz w:val="28"/>
                <w:szCs w:val="28"/>
              </w:rPr>
              <w:t>前处理</w:t>
            </w:r>
          </w:p>
        </w:tc>
        <w:tc>
          <w:tcPr>
            <w:tcW w:w="6973" w:type="dxa"/>
            <w:vAlign w:val="center"/>
          </w:tcPr>
          <w:p>
            <w:pPr>
              <w:widowControl/>
              <w:adjustRightInd w:val="0"/>
              <w:snapToGrid w:val="0"/>
              <w:rPr>
                <w:rFonts w:hAnsi="仿宋"/>
                <w:kern w:val="0"/>
                <w:sz w:val="28"/>
                <w:szCs w:val="28"/>
              </w:rPr>
            </w:pPr>
            <w:r>
              <w:rPr>
                <w:rFonts w:hAnsi="仿宋"/>
                <w:kern w:val="0"/>
                <w:sz w:val="28"/>
                <w:szCs w:val="28"/>
              </w:rPr>
              <w:t>净制、切制、炮</w:t>
            </w:r>
            <w:r>
              <w:rPr>
                <w:rFonts w:hint="eastAsia" w:hAnsi="仿宋"/>
                <w:kern w:val="0"/>
                <w:sz w:val="28"/>
                <w:szCs w:val="28"/>
              </w:rPr>
              <w:t>制</w:t>
            </w:r>
            <w:r>
              <w:rPr>
                <w:rFonts w:hAnsi="仿宋"/>
                <w:kern w:val="0"/>
                <w:sz w:val="28"/>
                <w:szCs w:val="28"/>
              </w:rPr>
              <w:t>、粉碎</w:t>
            </w:r>
            <w:r>
              <w:rPr>
                <w:rFonts w:hint="eastAsia" w:hAnsi="仿宋"/>
                <w:kern w:val="0"/>
                <w:sz w:val="28"/>
                <w:szCs w:val="28"/>
              </w:rPr>
              <w:t>、破碎（细度）等具体要求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Ansi="仿宋"/>
                <w:kern w:val="0"/>
                <w:sz w:val="28"/>
                <w:szCs w:val="28"/>
              </w:rPr>
            </w:pPr>
            <w:r>
              <w:rPr>
                <w:rFonts w:hint="eastAsia" w:hAnsi="仿宋"/>
                <w:kern w:val="0"/>
                <w:sz w:val="28"/>
                <w:szCs w:val="28"/>
              </w:rPr>
              <w:t>灭菌</w:t>
            </w:r>
          </w:p>
        </w:tc>
        <w:tc>
          <w:tcPr>
            <w:tcW w:w="6973" w:type="dxa"/>
            <w:vAlign w:val="center"/>
          </w:tcPr>
          <w:p>
            <w:pPr>
              <w:widowControl/>
              <w:adjustRightInd w:val="0"/>
              <w:snapToGrid w:val="0"/>
              <w:rPr>
                <w:rFonts w:hAnsi="仿宋"/>
                <w:kern w:val="0"/>
                <w:sz w:val="28"/>
                <w:szCs w:val="28"/>
              </w:rPr>
            </w:pPr>
            <w:r>
              <w:rPr>
                <w:rFonts w:hint="eastAsia" w:hAnsi="仿宋"/>
                <w:kern w:val="0"/>
                <w:sz w:val="28"/>
                <w:szCs w:val="28"/>
              </w:rPr>
              <w:t>灭菌方法：湿热灭菌、干热灭菌、辐射灭菌等</w:t>
            </w:r>
          </w:p>
          <w:p>
            <w:pPr>
              <w:widowControl/>
              <w:adjustRightInd w:val="0"/>
              <w:snapToGrid w:val="0"/>
              <w:rPr>
                <w:rFonts w:hAnsi="仿宋"/>
                <w:kern w:val="0"/>
                <w:sz w:val="28"/>
                <w:szCs w:val="28"/>
              </w:rPr>
            </w:pPr>
            <w:r>
              <w:rPr>
                <w:rFonts w:hint="eastAsia" w:hAnsi="仿宋"/>
                <w:kern w:val="0"/>
                <w:sz w:val="28"/>
                <w:szCs w:val="28"/>
              </w:rPr>
              <w:t>考察条件：灭菌工艺的有效性，灭菌设备腔室内待灭菌产品和物品的装载方式等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Ansi="仿宋"/>
                <w:kern w:val="0"/>
                <w:sz w:val="28"/>
                <w:szCs w:val="28"/>
              </w:rPr>
            </w:pPr>
            <w:r>
              <w:rPr>
                <w:rFonts w:hAnsi="仿宋"/>
                <w:kern w:val="0"/>
                <w:sz w:val="28"/>
                <w:szCs w:val="28"/>
              </w:rPr>
              <w:t>提取</w:t>
            </w:r>
          </w:p>
        </w:tc>
        <w:tc>
          <w:tcPr>
            <w:tcW w:w="6973" w:type="dxa"/>
            <w:vAlign w:val="center"/>
          </w:tcPr>
          <w:p>
            <w:pPr>
              <w:widowControl/>
              <w:adjustRightInd w:val="0"/>
              <w:snapToGrid w:val="0"/>
              <w:rPr>
                <w:rFonts w:hAnsi="仿宋"/>
                <w:kern w:val="0"/>
                <w:sz w:val="28"/>
                <w:szCs w:val="28"/>
              </w:rPr>
            </w:pPr>
            <w:r>
              <w:rPr>
                <w:rFonts w:hAnsi="仿宋"/>
                <w:kern w:val="0"/>
                <w:sz w:val="28"/>
                <w:szCs w:val="28"/>
              </w:rPr>
              <w:t>提取方法：蒸馏、水提、醇提、浸渍等</w:t>
            </w:r>
          </w:p>
          <w:p>
            <w:pPr>
              <w:widowControl/>
              <w:adjustRightInd w:val="0"/>
              <w:snapToGrid w:val="0"/>
              <w:rPr>
                <w:rFonts w:hAnsi="仿宋"/>
                <w:kern w:val="0"/>
                <w:sz w:val="28"/>
                <w:szCs w:val="28"/>
              </w:rPr>
            </w:pPr>
            <w:r>
              <w:rPr>
                <w:rFonts w:hAnsi="仿宋"/>
                <w:kern w:val="0"/>
                <w:sz w:val="28"/>
                <w:szCs w:val="28"/>
              </w:rPr>
              <w:t>考察条件：溶媒种类（包括浓度）、提取时间、提取次数及溶媒用量、挥发油或芳香水提取量等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Ansi="仿宋"/>
                <w:kern w:val="0"/>
                <w:sz w:val="28"/>
                <w:szCs w:val="28"/>
              </w:rPr>
            </w:pPr>
            <w:r>
              <w:rPr>
                <w:rFonts w:hAnsi="仿宋"/>
                <w:kern w:val="0"/>
                <w:sz w:val="28"/>
                <w:szCs w:val="28"/>
              </w:rPr>
              <w:t>分离纯化</w:t>
            </w:r>
          </w:p>
        </w:tc>
        <w:tc>
          <w:tcPr>
            <w:tcW w:w="6973" w:type="dxa"/>
            <w:vAlign w:val="center"/>
          </w:tcPr>
          <w:p>
            <w:pPr>
              <w:widowControl/>
              <w:adjustRightInd w:val="0"/>
              <w:snapToGrid w:val="0"/>
              <w:rPr>
                <w:rFonts w:hAnsi="仿宋"/>
                <w:kern w:val="0"/>
                <w:sz w:val="28"/>
                <w:szCs w:val="28"/>
              </w:rPr>
            </w:pPr>
            <w:r>
              <w:rPr>
                <w:rFonts w:hAnsi="仿宋"/>
                <w:kern w:val="0"/>
                <w:sz w:val="28"/>
                <w:szCs w:val="28"/>
              </w:rPr>
              <w:t>醇沉、水沉、离心、pH值等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Ansi="仿宋"/>
                <w:kern w:val="0"/>
                <w:sz w:val="28"/>
                <w:szCs w:val="28"/>
              </w:rPr>
            </w:pPr>
            <w:r>
              <w:rPr>
                <w:rFonts w:hAnsi="仿宋"/>
                <w:kern w:val="0"/>
                <w:sz w:val="28"/>
                <w:szCs w:val="28"/>
              </w:rPr>
              <w:t>浓缩干燥</w:t>
            </w:r>
          </w:p>
        </w:tc>
        <w:tc>
          <w:tcPr>
            <w:tcW w:w="6973" w:type="dxa"/>
            <w:vAlign w:val="center"/>
          </w:tcPr>
          <w:p>
            <w:pPr>
              <w:widowControl/>
              <w:adjustRightInd w:val="0"/>
              <w:snapToGrid w:val="0"/>
              <w:rPr>
                <w:rFonts w:hAnsi="仿宋"/>
                <w:kern w:val="0"/>
                <w:sz w:val="28"/>
                <w:szCs w:val="28"/>
              </w:rPr>
            </w:pPr>
            <w:r>
              <w:rPr>
                <w:rFonts w:hAnsi="仿宋"/>
                <w:kern w:val="0"/>
                <w:sz w:val="28"/>
                <w:szCs w:val="28"/>
              </w:rPr>
              <w:t>浓缩液相对密度、浓缩干燥方式和条件等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Ansi="仿宋"/>
                <w:kern w:val="0"/>
                <w:sz w:val="28"/>
                <w:szCs w:val="28"/>
              </w:rPr>
            </w:pPr>
            <w:r>
              <w:rPr>
                <w:rFonts w:hAnsi="仿宋"/>
                <w:kern w:val="0"/>
                <w:sz w:val="28"/>
                <w:szCs w:val="28"/>
              </w:rPr>
              <w:t>辅料筛选</w:t>
            </w:r>
          </w:p>
        </w:tc>
        <w:tc>
          <w:tcPr>
            <w:tcW w:w="6973" w:type="dxa"/>
            <w:vAlign w:val="center"/>
          </w:tcPr>
          <w:p>
            <w:pPr>
              <w:widowControl/>
              <w:adjustRightInd w:val="0"/>
              <w:snapToGrid w:val="0"/>
              <w:rPr>
                <w:rFonts w:hAnsi="仿宋"/>
                <w:kern w:val="0"/>
                <w:sz w:val="28"/>
                <w:szCs w:val="28"/>
              </w:rPr>
            </w:pPr>
            <w:r>
              <w:rPr>
                <w:rFonts w:hAnsi="仿宋"/>
                <w:kern w:val="0"/>
                <w:sz w:val="28"/>
                <w:szCs w:val="28"/>
              </w:rPr>
              <w:t>确定辅料的种类和用量等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Ansi="仿宋"/>
                <w:kern w:val="0"/>
                <w:sz w:val="28"/>
                <w:szCs w:val="28"/>
              </w:rPr>
            </w:pPr>
            <w:r>
              <w:rPr>
                <w:rFonts w:hAnsi="仿宋"/>
                <w:kern w:val="0"/>
                <w:sz w:val="28"/>
                <w:szCs w:val="28"/>
              </w:rPr>
              <w:t>成型技术</w:t>
            </w:r>
          </w:p>
        </w:tc>
        <w:tc>
          <w:tcPr>
            <w:tcW w:w="6973" w:type="dxa"/>
            <w:vAlign w:val="center"/>
          </w:tcPr>
          <w:p>
            <w:pPr>
              <w:widowControl/>
              <w:adjustRightInd w:val="0"/>
              <w:snapToGrid w:val="0"/>
              <w:rPr>
                <w:rFonts w:hAnsi="仿宋"/>
                <w:kern w:val="0"/>
                <w:sz w:val="28"/>
                <w:szCs w:val="28"/>
              </w:rPr>
            </w:pPr>
            <w:r>
              <w:rPr>
                <w:rFonts w:hAnsi="仿宋"/>
                <w:kern w:val="0"/>
                <w:sz w:val="28"/>
                <w:szCs w:val="28"/>
              </w:rPr>
              <w:t>固体制剂：流动性、堆密度、粒度、外观均匀度、水分、溶化性、崩解时限、融变时限等</w:t>
            </w:r>
          </w:p>
          <w:p>
            <w:pPr>
              <w:widowControl/>
              <w:adjustRightInd w:val="0"/>
              <w:snapToGrid w:val="0"/>
              <w:rPr>
                <w:rFonts w:hAnsi="仿宋"/>
                <w:kern w:val="0"/>
                <w:sz w:val="28"/>
                <w:szCs w:val="28"/>
              </w:rPr>
            </w:pPr>
            <w:r>
              <w:rPr>
                <w:rFonts w:hAnsi="仿宋"/>
                <w:kern w:val="0"/>
                <w:sz w:val="28"/>
                <w:szCs w:val="28"/>
              </w:rPr>
              <w:t>半固体制剂：流动性、外观均匀度、粒度、相对密度等</w:t>
            </w:r>
          </w:p>
          <w:p>
            <w:pPr>
              <w:widowControl/>
              <w:adjustRightInd w:val="0"/>
              <w:snapToGrid w:val="0"/>
              <w:rPr>
                <w:rFonts w:hAnsi="仿宋"/>
                <w:kern w:val="0"/>
                <w:sz w:val="28"/>
                <w:szCs w:val="28"/>
              </w:rPr>
            </w:pPr>
            <w:r>
              <w:rPr>
                <w:rFonts w:hAnsi="仿宋"/>
                <w:kern w:val="0"/>
                <w:sz w:val="28"/>
                <w:szCs w:val="28"/>
              </w:rPr>
              <w:t>液体制剂：澄清度、pH值、相对密度等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Ansi="仿宋"/>
                <w:kern w:val="0"/>
                <w:sz w:val="28"/>
                <w:szCs w:val="28"/>
              </w:rPr>
            </w:pPr>
            <w:r>
              <w:rPr>
                <w:rFonts w:hAnsi="仿宋"/>
                <w:kern w:val="0"/>
                <w:sz w:val="28"/>
                <w:szCs w:val="28"/>
              </w:rPr>
              <w:t>中试研究</w:t>
            </w:r>
          </w:p>
        </w:tc>
        <w:tc>
          <w:tcPr>
            <w:tcW w:w="6973" w:type="dxa"/>
            <w:vAlign w:val="center"/>
          </w:tcPr>
          <w:p>
            <w:pPr>
              <w:widowControl/>
              <w:adjustRightInd w:val="0"/>
              <w:snapToGrid w:val="0"/>
              <w:rPr>
                <w:rFonts w:hAnsi="仿宋"/>
                <w:kern w:val="0"/>
                <w:sz w:val="28"/>
                <w:szCs w:val="28"/>
              </w:rPr>
            </w:pPr>
            <w:r>
              <w:rPr>
                <w:rFonts w:hAnsi="仿宋"/>
                <w:kern w:val="0"/>
                <w:sz w:val="28"/>
                <w:szCs w:val="28"/>
              </w:rPr>
              <w:t>投料量、半成品量、辅料用量、成品量及成品率等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int="eastAsia" w:hAnsi="仿宋"/>
                <w:kern w:val="0"/>
                <w:sz w:val="28"/>
                <w:szCs w:val="28"/>
              </w:rPr>
            </w:pPr>
            <w:r>
              <w:rPr>
                <w:rFonts w:hint="eastAsia" w:hAnsi="仿宋"/>
                <w:kern w:val="0"/>
                <w:sz w:val="28"/>
                <w:szCs w:val="28"/>
              </w:rPr>
              <w:t>临床使用规模</w:t>
            </w:r>
          </w:p>
          <w:p>
            <w:pPr>
              <w:widowControl/>
              <w:adjustRightInd w:val="0"/>
              <w:snapToGrid w:val="0"/>
              <w:jc w:val="center"/>
              <w:rPr>
                <w:rFonts w:hAnsi="仿宋"/>
                <w:kern w:val="0"/>
                <w:sz w:val="28"/>
                <w:szCs w:val="28"/>
              </w:rPr>
            </w:pPr>
            <w:r>
              <w:rPr>
                <w:rFonts w:hint="eastAsia" w:hAnsi="仿宋"/>
                <w:kern w:val="0"/>
                <w:sz w:val="28"/>
                <w:szCs w:val="28"/>
              </w:rPr>
              <w:t>配制研究</w:t>
            </w:r>
          </w:p>
        </w:tc>
        <w:tc>
          <w:tcPr>
            <w:tcW w:w="6973" w:type="dxa"/>
            <w:vAlign w:val="center"/>
          </w:tcPr>
          <w:p>
            <w:pPr>
              <w:widowControl/>
              <w:adjustRightInd w:val="0"/>
              <w:snapToGrid w:val="0"/>
              <w:rPr>
                <w:rFonts w:hAnsi="仿宋"/>
                <w:kern w:val="0"/>
                <w:sz w:val="28"/>
                <w:szCs w:val="28"/>
              </w:rPr>
            </w:pPr>
            <w:r>
              <w:rPr>
                <w:rFonts w:hint="eastAsia" w:hAnsi="仿宋"/>
                <w:bCs/>
                <w:kern w:val="0"/>
                <w:sz w:val="28"/>
                <w:szCs w:val="28"/>
              </w:rPr>
              <w:t>产品质量的一致性、均一性及生产效率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Ansi="仿宋"/>
                <w:kern w:val="0"/>
                <w:sz w:val="28"/>
                <w:szCs w:val="28"/>
              </w:rPr>
            </w:pPr>
            <w:r>
              <w:rPr>
                <w:rFonts w:hint="eastAsia" w:hAnsi="仿宋"/>
                <w:kern w:val="0"/>
                <w:sz w:val="28"/>
                <w:szCs w:val="28"/>
              </w:rPr>
              <w:t>工艺验证</w:t>
            </w:r>
          </w:p>
        </w:tc>
        <w:tc>
          <w:tcPr>
            <w:tcW w:w="6973" w:type="dxa"/>
            <w:vAlign w:val="center"/>
          </w:tcPr>
          <w:p>
            <w:pPr>
              <w:widowControl/>
              <w:adjustRightInd w:val="0"/>
              <w:snapToGrid w:val="0"/>
              <w:rPr>
                <w:rFonts w:hAnsi="仿宋"/>
                <w:bCs/>
                <w:kern w:val="0"/>
                <w:sz w:val="28"/>
                <w:szCs w:val="28"/>
              </w:rPr>
            </w:pPr>
            <w:r>
              <w:rPr>
                <w:rFonts w:hint="eastAsia" w:hAnsi="仿宋"/>
                <w:bCs/>
                <w:kern w:val="0"/>
                <w:sz w:val="28"/>
                <w:szCs w:val="28"/>
              </w:rPr>
              <w:t>设计工艺验证方案，包括关键过程参数和操作范围、取样计划、中间体和成品的质量检测方法及检测值等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Ansi="仿宋"/>
                <w:kern w:val="0"/>
                <w:sz w:val="28"/>
                <w:szCs w:val="28"/>
              </w:rPr>
            </w:pPr>
            <w:r>
              <w:rPr>
                <w:rFonts w:hAnsi="仿宋"/>
                <w:kern w:val="0"/>
                <w:sz w:val="28"/>
                <w:szCs w:val="28"/>
              </w:rPr>
              <w:t>评价指标</w:t>
            </w:r>
          </w:p>
        </w:tc>
        <w:tc>
          <w:tcPr>
            <w:tcW w:w="6973" w:type="dxa"/>
            <w:vAlign w:val="center"/>
          </w:tcPr>
          <w:p>
            <w:pPr>
              <w:widowControl/>
              <w:adjustRightInd w:val="0"/>
              <w:snapToGrid w:val="0"/>
              <w:rPr>
                <w:rFonts w:hAnsi="仿宋"/>
                <w:kern w:val="0"/>
                <w:sz w:val="28"/>
                <w:szCs w:val="28"/>
              </w:rPr>
            </w:pPr>
            <w:r>
              <w:rPr>
                <w:rFonts w:hAnsi="仿宋"/>
                <w:kern w:val="0"/>
                <w:sz w:val="28"/>
                <w:szCs w:val="28"/>
              </w:rPr>
              <w:t>可选用单一成分、多成分或大类成分等评价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15" w:type="dxa"/>
            <w:vAlign w:val="center"/>
          </w:tcPr>
          <w:p>
            <w:pPr>
              <w:widowControl/>
              <w:adjustRightInd w:val="0"/>
              <w:snapToGrid w:val="0"/>
              <w:jc w:val="center"/>
              <w:rPr>
                <w:rFonts w:hint="eastAsia" w:hAnsi="仿宋"/>
                <w:kern w:val="0"/>
                <w:sz w:val="28"/>
                <w:szCs w:val="28"/>
              </w:rPr>
            </w:pPr>
            <w:r>
              <w:rPr>
                <w:rFonts w:hAnsi="仿宋"/>
                <w:kern w:val="0"/>
                <w:sz w:val="28"/>
                <w:szCs w:val="28"/>
              </w:rPr>
              <w:t>评价指标的</w:t>
            </w:r>
          </w:p>
          <w:p>
            <w:pPr>
              <w:widowControl/>
              <w:adjustRightInd w:val="0"/>
              <w:snapToGrid w:val="0"/>
              <w:jc w:val="center"/>
              <w:rPr>
                <w:rFonts w:hAnsi="仿宋"/>
                <w:kern w:val="0"/>
                <w:sz w:val="28"/>
                <w:szCs w:val="28"/>
              </w:rPr>
            </w:pPr>
            <w:r>
              <w:rPr>
                <w:rFonts w:hAnsi="仿宋"/>
                <w:kern w:val="0"/>
                <w:sz w:val="28"/>
                <w:szCs w:val="28"/>
              </w:rPr>
              <w:t>测定方法</w:t>
            </w:r>
          </w:p>
        </w:tc>
        <w:tc>
          <w:tcPr>
            <w:tcW w:w="6973" w:type="dxa"/>
            <w:vAlign w:val="center"/>
          </w:tcPr>
          <w:p>
            <w:pPr>
              <w:widowControl/>
              <w:adjustRightInd w:val="0"/>
              <w:snapToGrid w:val="0"/>
              <w:rPr>
                <w:rFonts w:hAnsi="仿宋"/>
                <w:kern w:val="0"/>
                <w:sz w:val="28"/>
                <w:szCs w:val="28"/>
              </w:rPr>
            </w:pPr>
            <w:r>
              <w:rPr>
                <w:rFonts w:hAnsi="仿宋"/>
                <w:kern w:val="0"/>
                <w:sz w:val="28"/>
                <w:szCs w:val="28"/>
              </w:rPr>
              <w:t>可采用气相色谱、液相色谱、紫外分光光度法、薄层色谱法等</w:t>
            </w:r>
          </w:p>
        </w:tc>
      </w:tr>
    </w:tbl>
    <w:p/>
    <w:sectPr>
      <w:footerReference r:id="rId3" w:type="default"/>
      <w:footerReference r:id="rId4" w:type="even"/>
      <w:pgSz w:w="11906" w:h="16838"/>
      <w:pgMar w:top="2098" w:right="1531" w:bottom="1985" w:left="1531" w:header="851" w:footer="1418" w:gutter="0"/>
      <w:cols w:space="425" w:num="1"/>
      <w:titlePg/>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left="320" w:leftChars="100" w:right="320" w:rightChars="100"/>
      <w:jc w:val="right"/>
    </w:pPr>
    <w:r>
      <w:rPr>
        <w:rFonts w:hint="eastAsia" w:ascii="宋体" w:hAnsi="宋体" w:eastAsia="宋体"/>
        <w:kern w:val="0"/>
        <w:sz w:val="28"/>
        <w:szCs w:val="21"/>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15</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left="320" w:leftChars="100" w:right="320" w:rightChars="100"/>
      <w:jc w:val="left"/>
    </w:pPr>
    <w:r>
      <w:rPr>
        <w:rFonts w:hint="eastAsia" w:ascii="宋体" w:hAnsi="宋体" w:eastAsia="宋体"/>
        <w:kern w:val="0"/>
        <w:sz w:val="28"/>
        <w:szCs w:val="21"/>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14</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4C"/>
    <w:rsid w:val="000404E9"/>
    <w:rsid w:val="000429F4"/>
    <w:rsid w:val="00083E58"/>
    <w:rsid w:val="000F0891"/>
    <w:rsid w:val="000F0BB2"/>
    <w:rsid w:val="000F616D"/>
    <w:rsid w:val="00102FB7"/>
    <w:rsid w:val="001075C6"/>
    <w:rsid w:val="00157987"/>
    <w:rsid w:val="001813E3"/>
    <w:rsid w:val="001A2205"/>
    <w:rsid w:val="001F374A"/>
    <w:rsid w:val="002007C4"/>
    <w:rsid w:val="002301F7"/>
    <w:rsid w:val="0029605A"/>
    <w:rsid w:val="002C214F"/>
    <w:rsid w:val="002C764B"/>
    <w:rsid w:val="002D29A2"/>
    <w:rsid w:val="003207FB"/>
    <w:rsid w:val="0034114C"/>
    <w:rsid w:val="00354773"/>
    <w:rsid w:val="003549CC"/>
    <w:rsid w:val="003B7F26"/>
    <w:rsid w:val="003D04C2"/>
    <w:rsid w:val="003F6B50"/>
    <w:rsid w:val="0048554F"/>
    <w:rsid w:val="004B21D3"/>
    <w:rsid w:val="004D2C62"/>
    <w:rsid w:val="004D65E6"/>
    <w:rsid w:val="004F2BBD"/>
    <w:rsid w:val="005B595E"/>
    <w:rsid w:val="005C0639"/>
    <w:rsid w:val="005C5711"/>
    <w:rsid w:val="00603BB6"/>
    <w:rsid w:val="006072E0"/>
    <w:rsid w:val="00646F40"/>
    <w:rsid w:val="00671923"/>
    <w:rsid w:val="006B1F6C"/>
    <w:rsid w:val="006F30F0"/>
    <w:rsid w:val="00703CC3"/>
    <w:rsid w:val="00730E50"/>
    <w:rsid w:val="00785CA3"/>
    <w:rsid w:val="007927FF"/>
    <w:rsid w:val="007A709E"/>
    <w:rsid w:val="007C1B98"/>
    <w:rsid w:val="007C4C95"/>
    <w:rsid w:val="007F572C"/>
    <w:rsid w:val="00805C9E"/>
    <w:rsid w:val="008508C0"/>
    <w:rsid w:val="008846E5"/>
    <w:rsid w:val="008A247B"/>
    <w:rsid w:val="008E6B60"/>
    <w:rsid w:val="00922144"/>
    <w:rsid w:val="009308A0"/>
    <w:rsid w:val="0093208B"/>
    <w:rsid w:val="009422CB"/>
    <w:rsid w:val="009528A6"/>
    <w:rsid w:val="00955B75"/>
    <w:rsid w:val="00962E16"/>
    <w:rsid w:val="00976EEB"/>
    <w:rsid w:val="009902A6"/>
    <w:rsid w:val="009D293E"/>
    <w:rsid w:val="00AA7A6B"/>
    <w:rsid w:val="00AC7312"/>
    <w:rsid w:val="00B61A90"/>
    <w:rsid w:val="00B8383A"/>
    <w:rsid w:val="00B86E0D"/>
    <w:rsid w:val="00BA12E4"/>
    <w:rsid w:val="00BB1390"/>
    <w:rsid w:val="00BC05B9"/>
    <w:rsid w:val="00C22B1B"/>
    <w:rsid w:val="00C30283"/>
    <w:rsid w:val="00C34C4F"/>
    <w:rsid w:val="00C502DA"/>
    <w:rsid w:val="00C66780"/>
    <w:rsid w:val="00CA4DBC"/>
    <w:rsid w:val="00CB5E23"/>
    <w:rsid w:val="00CC3841"/>
    <w:rsid w:val="00CD1731"/>
    <w:rsid w:val="00CD6262"/>
    <w:rsid w:val="00CF0614"/>
    <w:rsid w:val="00CF0923"/>
    <w:rsid w:val="00D10438"/>
    <w:rsid w:val="00D57D97"/>
    <w:rsid w:val="00D65433"/>
    <w:rsid w:val="00DD0B01"/>
    <w:rsid w:val="00DE7B1F"/>
    <w:rsid w:val="00E12BD2"/>
    <w:rsid w:val="00E24B8F"/>
    <w:rsid w:val="00E36577"/>
    <w:rsid w:val="00E37EB6"/>
    <w:rsid w:val="00E476CB"/>
    <w:rsid w:val="00EA02E7"/>
    <w:rsid w:val="00EA2F2A"/>
    <w:rsid w:val="00EB1C0A"/>
    <w:rsid w:val="00EB7458"/>
    <w:rsid w:val="00F0266B"/>
    <w:rsid w:val="00F3336F"/>
    <w:rsid w:val="00F35B2B"/>
    <w:rsid w:val="00F778DC"/>
    <w:rsid w:val="00FD2FC6"/>
    <w:rsid w:val="03E4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2"/>
      <w:sz w:val="32"/>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link w:val="12"/>
    <w:qFormat/>
    <w:uiPriority w:val="1"/>
    <w:pPr>
      <w:widowControl w:val="0"/>
      <w:jc w:val="both"/>
    </w:pPr>
    <w:rPr>
      <w:rFonts w:ascii="PMingLiU" w:hAnsi="PMingLiU" w:eastAsia="PMingLiU" w:cs="PMingLiU"/>
      <w:kern w:val="2"/>
      <w:sz w:val="28"/>
      <w:szCs w:val="28"/>
      <w:lang w:val="zh-CN" w:eastAsia="zh-CN" w:bidi="zh-CN"/>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日期 Char"/>
    <w:basedOn w:val="8"/>
    <w:link w:val="3"/>
    <w:semiHidden/>
    <w:qFormat/>
    <w:uiPriority w:val="99"/>
    <w:rPr>
      <w:rFonts w:ascii="仿宋" w:hAnsi="Times New Roman" w:eastAsia="仿宋" w:cs="Times New Roman"/>
      <w:sz w:val="32"/>
      <w:szCs w:val="20"/>
    </w:rPr>
  </w:style>
  <w:style w:type="character" w:customStyle="1" w:styleId="12">
    <w:name w:val="正文文本 Char"/>
    <w:basedOn w:val="8"/>
    <w:link w:val="2"/>
    <w:qFormat/>
    <w:uiPriority w:val="1"/>
    <w:rPr>
      <w:rFonts w:ascii="PMingLiU" w:hAnsi="PMingLiU" w:eastAsia="PMingLiU" w:cs="PMingLiU"/>
      <w:sz w:val="28"/>
      <w:szCs w:val="28"/>
      <w:lang w:val="zh-CN" w:bidi="zh-CN"/>
    </w:rPr>
  </w:style>
  <w:style w:type="character" w:customStyle="1" w:styleId="13">
    <w:name w:val="批注框文本 Char"/>
    <w:basedOn w:val="8"/>
    <w:link w:val="4"/>
    <w:semiHidden/>
    <w:qFormat/>
    <w:uiPriority w:val="99"/>
    <w:rPr>
      <w:rFonts w:ascii="仿宋" w:hAnsi="Times New Roman" w:eastAsia="仿宋"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997</Words>
  <Characters>5683</Characters>
  <Lines>47</Lines>
  <Paragraphs>13</Paragraphs>
  <TotalTime>20</TotalTime>
  <ScaleCrop>false</ScaleCrop>
  <LinksUpToDate>false</LinksUpToDate>
  <CharactersWithSpaces>6667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2022-12-28T09:04:00Z</dcterms:created>
  <dc:creator>A</dc:creator>
  <cp:lastModifiedBy>Administrator</cp:lastModifiedBy>
  <cp:lastPrinted>2022-12-28T09:25:00Z</cp:lastPrinted>
  <dcterms:modified xsi:type="dcterms:W3CDTF">2022-12-28T10:18:26Z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