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pPr>
      <w:bookmarkStart w:id="0" w:name="_Toc455398733"/>
    </w:p>
    <w:p>
      <w:pPr>
        <w:adjustRightInd w:val="0"/>
      </w:pPr>
    </w:p>
    <w:p>
      <w:pPr>
        <w:adjustRightInd w:val="0"/>
      </w:pPr>
    </w:p>
    <w:p>
      <w:pPr>
        <w:spacing w:line="560" w:lineRule="exact"/>
        <w:jc w:val="center"/>
        <w:rPr>
          <w:rFonts w:ascii="方正小标宋_GBK" w:eastAsia="方正小标宋_GBK" w:cs="宋体"/>
          <w:sz w:val="22"/>
          <w:szCs w:val="24"/>
        </w:rPr>
      </w:pPr>
      <w:r>
        <w:rPr>
          <w:rFonts w:hint="eastAsia" w:ascii="方正小标宋_GBK" w:hAnsi="宋体" w:eastAsia="方正小标宋_GBK" w:cs="宋体"/>
          <w:sz w:val="48"/>
          <w:szCs w:val="44"/>
        </w:rPr>
        <w:t>新疆维吾尔自治区医用氧批发企业检查要点（试行）</w:t>
      </w:r>
    </w:p>
    <w:p>
      <w:pPr>
        <w:adjustRightInd w:val="0"/>
      </w:pPr>
    </w:p>
    <w:p>
      <w:pPr>
        <w:adjustRightInd w:val="0"/>
        <w:jc w:val="center"/>
        <w:rPr>
          <w:rFonts w:hint="eastAsia" w:eastAsia="仿宋"/>
          <w:lang w:eastAsia="zh-CN"/>
        </w:rPr>
      </w:pPr>
      <w:r>
        <w:rPr>
          <w:rFonts w:hint="eastAsia"/>
          <w:lang w:eastAsia="zh-CN"/>
        </w:rPr>
        <w:t>（</w:t>
      </w:r>
      <w:r>
        <w:rPr>
          <w:rFonts w:hint="eastAsia"/>
          <w:lang w:val="en-US" w:eastAsia="zh-CN"/>
        </w:rPr>
        <w:t>征求意见稿</w:t>
      </w:r>
      <w:r>
        <w:rPr>
          <w:rFonts w:hint="eastAsia"/>
          <w:lang w:eastAsia="zh-CN"/>
        </w:rPr>
        <w:t>）</w:t>
      </w:r>
    </w:p>
    <w:p>
      <w:pPr>
        <w:adjustRightInd w:val="0"/>
      </w:pPr>
    </w:p>
    <w:p>
      <w:pPr>
        <w:adjustRightInd w:val="0"/>
      </w:pPr>
    </w:p>
    <w:p>
      <w:pPr>
        <w:adjustRightInd w:val="0"/>
      </w:pPr>
    </w:p>
    <w:p>
      <w:pPr>
        <w:adjustRightInd w:val="0"/>
      </w:pPr>
    </w:p>
    <w:p>
      <w:pPr>
        <w:adjustRightInd w:val="0"/>
      </w:pPr>
    </w:p>
    <w:p>
      <w:pPr>
        <w:adjustRightInd w:val="0"/>
      </w:pPr>
    </w:p>
    <w:p>
      <w:pPr>
        <w:adjustRightInd w:val="0"/>
      </w:pPr>
    </w:p>
    <w:p>
      <w:pPr>
        <w:adjustRightInd w:val="0"/>
      </w:pPr>
    </w:p>
    <w:p>
      <w:pPr>
        <w:adjustRightInd w:val="0"/>
        <w:spacing w:line="360" w:lineRule="auto"/>
        <w:jc w:val="center"/>
        <w:rPr>
          <w:rFonts w:ascii="楷体" w:hAnsi="楷体" w:eastAsia="楷体" w:cs="宋体"/>
          <w:bCs/>
          <w:sz w:val="36"/>
          <w:szCs w:val="36"/>
        </w:rPr>
      </w:pPr>
      <w:r>
        <w:rPr>
          <w:rFonts w:hint="eastAsia" w:ascii="楷体" w:hAnsi="楷体" w:eastAsia="楷体" w:cs="宋体"/>
          <w:bCs/>
          <w:sz w:val="36"/>
          <w:szCs w:val="36"/>
        </w:rPr>
        <w:t>自治区药品监督管理局</w:t>
      </w:r>
    </w:p>
    <w:p>
      <w:pPr>
        <w:adjustRightInd w:val="0"/>
        <w:spacing w:line="360" w:lineRule="auto"/>
        <w:jc w:val="center"/>
        <w:rPr>
          <w:rFonts w:ascii="楷体" w:hAnsi="楷体" w:eastAsia="楷体" w:cs="宋体"/>
          <w:bCs/>
          <w:sz w:val="36"/>
          <w:szCs w:val="36"/>
        </w:rPr>
      </w:pPr>
      <w:r>
        <w:rPr>
          <w:rFonts w:hint="eastAsia" w:ascii="楷体" w:hAnsi="楷体" w:eastAsia="楷体" w:cs="宋体"/>
          <w:bCs/>
          <w:sz w:val="36"/>
          <w:szCs w:val="36"/>
        </w:rPr>
        <w:t>2021年</w:t>
      </w:r>
      <w:r>
        <w:rPr>
          <w:rFonts w:hint="eastAsia" w:ascii="楷体" w:hAnsi="楷体" w:eastAsia="楷体" w:cs="宋体"/>
          <w:bCs/>
          <w:sz w:val="36"/>
          <w:szCs w:val="36"/>
          <w:lang w:val="en-US" w:eastAsia="zh-CN"/>
        </w:rPr>
        <w:t xml:space="preserve">  </w:t>
      </w:r>
      <w:r>
        <w:rPr>
          <w:rFonts w:hint="eastAsia" w:ascii="楷体" w:hAnsi="楷体" w:eastAsia="楷体" w:cs="宋体"/>
          <w:bCs/>
          <w:sz w:val="36"/>
          <w:szCs w:val="36"/>
        </w:rPr>
        <w:t>月</w:t>
      </w:r>
    </w:p>
    <w:p>
      <w:pPr>
        <w:adjustRightInd w:val="0"/>
        <w:spacing w:line="360" w:lineRule="auto"/>
        <w:rPr>
          <w:rFonts w:ascii="楷体" w:hAnsi="楷体" w:eastAsia="楷体" w:cs="宋体"/>
          <w:b/>
          <w:bCs/>
          <w:szCs w:val="32"/>
        </w:rPr>
      </w:pPr>
    </w:p>
    <w:p>
      <w:pPr>
        <w:adjustRightInd w:val="0"/>
        <w:spacing w:line="560" w:lineRule="exact"/>
        <w:jc w:val="center"/>
        <w:rPr>
          <w:rFonts w:ascii="方正小标宋_GBK" w:eastAsia="方正小标宋_GBK"/>
          <w:sz w:val="44"/>
          <w:szCs w:val="44"/>
        </w:rPr>
      </w:pPr>
      <w:r>
        <w:rPr>
          <w:rFonts w:hint="eastAsia" w:ascii="方正小标宋_GBK" w:eastAsia="方正小标宋_GBK"/>
          <w:sz w:val="44"/>
          <w:szCs w:val="44"/>
        </w:rPr>
        <w:t>说  明</w:t>
      </w:r>
    </w:p>
    <w:p>
      <w:pPr>
        <w:adjustRightInd w:val="0"/>
        <w:spacing w:line="560" w:lineRule="exact"/>
        <w:ind w:firstLine="640" w:firstLineChars="200"/>
      </w:pPr>
    </w:p>
    <w:p>
      <w:pPr>
        <w:adjustRightInd w:val="0"/>
        <w:spacing w:line="560" w:lineRule="exact"/>
        <w:ind w:firstLine="640" w:firstLineChars="200"/>
      </w:pPr>
      <w:r>
        <w:rPr>
          <w:rFonts w:hint="eastAsia"/>
        </w:rPr>
        <w:t>一、为填补我区医用氧批发企业检查要点的空白，提升医用氧批发企业监管工作科学化、规范化水平，依据《药品管理法》、《食品药品监管总局关于修订印发〈药品经营质量管理规范现场检查指导原则〉有关事宜的通知》（食药监药化监〔2016〕160号）和《药品生产质量管理规范》，制定本要点。</w:t>
      </w:r>
    </w:p>
    <w:p>
      <w:pPr>
        <w:adjustRightInd w:val="0"/>
        <w:spacing w:line="560" w:lineRule="exact"/>
        <w:ind w:firstLine="640" w:firstLineChars="200"/>
      </w:pPr>
      <w:r>
        <w:rPr>
          <w:rFonts w:hint="eastAsia"/>
        </w:rPr>
        <w:t>二、现场检查应当按照本要点中包含的检查项目，对医用氧批发企业进行全面检查。</w:t>
      </w:r>
    </w:p>
    <w:p>
      <w:pPr>
        <w:adjustRightInd w:val="0"/>
        <w:spacing w:line="560" w:lineRule="exact"/>
        <w:ind w:firstLine="640" w:firstLineChars="200"/>
      </w:pPr>
      <w:r>
        <w:rPr>
          <w:rFonts w:hint="eastAsia"/>
        </w:rPr>
        <w:t>三、本手册批发企业检查项目共113项，其中严重缺陷项目（**）9项，主要缺陷项目（*）46项，一般缺陷项目58项。</w:t>
      </w:r>
    </w:p>
    <w:p>
      <w:pPr>
        <w:adjustRightInd w:val="0"/>
        <w:spacing w:line="560" w:lineRule="exact"/>
        <w:ind w:firstLine="640" w:firstLineChars="200"/>
      </w:pPr>
      <w:r>
        <w:rPr>
          <w:rFonts w:hint="eastAsia"/>
        </w:rPr>
        <w:t>四、新开办企业检查结果判定：现场检查结果全部符合本要点的，评定为检查合格；现场检查结果有不符合本要点的，评定为检查不合格。</w:t>
      </w:r>
    </w:p>
    <w:p>
      <w:pPr>
        <w:adjustRightInd w:val="0"/>
      </w:pPr>
    </w:p>
    <w:p>
      <w:pPr>
        <w:adjustRightInd w:val="0"/>
      </w:pPr>
    </w:p>
    <w:p>
      <w:pPr>
        <w:adjustRightInd w:val="0"/>
      </w:pPr>
    </w:p>
    <w:p>
      <w:pPr>
        <w:adjustRightInd w:val="0"/>
        <w:spacing w:line="520" w:lineRule="exact"/>
        <w:ind w:firstLine="640" w:firstLineChars="200"/>
      </w:pPr>
      <w:r>
        <w:rPr>
          <w:rFonts w:hint="eastAsia"/>
        </w:rPr>
        <w:t>五、换证检查结果判定：</w:t>
      </w:r>
    </w:p>
    <w:tbl>
      <w:tblPr>
        <w:tblStyle w:val="16"/>
        <w:tblW w:w="137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73"/>
        <w:gridCol w:w="2786"/>
        <w:gridCol w:w="3198"/>
        <w:gridCol w:w="5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403" w:type="dxa"/>
            <w:gridSpan w:val="3"/>
            <w:tcBorders>
              <w:right w:val="single" w:color="auto" w:sz="4" w:space="0"/>
            </w:tcBorders>
            <w:vAlign w:val="center"/>
          </w:tcPr>
          <w:p>
            <w:pPr>
              <w:tabs>
                <w:tab w:val="left" w:pos="0"/>
              </w:tabs>
              <w:adjustRightInd w:val="0"/>
              <w:snapToGrid w:val="0"/>
              <w:jc w:val="center"/>
              <w:rPr>
                <w:rFonts w:hAnsi="仿宋" w:cs="仿宋"/>
                <w:kern w:val="0"/>
                <w:sz w:val="24"/>
                <w:szCs w:val="24"/>
              </w:rPr>
            </w:pPr>
            <w:r>
              <w:rPr>
                <w:rFonts w:hint="eastAsia" w:hAnsi="仿宋" w:cs="仿宋"/>
                <w:kern w:val="0"/>
                <w:sz w:val="24"/>
                <w:szCs w:val="24"/>
              </w:rPr>
              <w:t>检查项目</w:t>
            </w:r>
          </w:p>
        </w:tc>
        <w:tc>
          <w:tcPr>
            <w:tcW w:w="5565" w:type="dxa"/>
            <w:vMerge w:val="restart"/>
            <w:tcBorders>
              <w:left w:val="single" w:color="auto" w:sz="4" w:space="0"/>
            </w:tcBorders>
            <w:vAlign w:val="center"/>
          </w:tcPr>
          <w:p>
            <w:pPr>
              <w:tabs>
                <w:tab w:val="left" w:pos="0"/>
              </w:tabs>
              <w:adjustRightInd w:val="0"/>
              <w:snapToGrid w:val="0"/>
              <w:jc w:val="center"/>
              <w:rPr>
                <w:rFonts w:hAnsi="仿宋" w:cs="仿宋"/>
                <w:kern w:val="0"/>
                <w:sz w:val="24"/>
                <w:szCs w:val="24"/>
              </w:rPr>
            </w:pPr>
            <w:r>
              <w:rPr>
                <w:rFonts w:hint="eastAsia" w:hAnsi="仿宋" w:cs="仿宋"/>
                <w:kern w:val="0"/>
                <w:sz w:val="24"/>
                <w:szCs w:val="24"/>
              </w:rPr>
              <w:t>结果判定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313" w:type="dxa"/>
            <w:vAlign w:val="center"/>
          </w:tcPr>
          <w:p>
            <w:pPr>
              <w:tabs>
                <w:tab w:val="left" w:pos="0"/>
              </w:tabs>
              <w:adjustRightInd w:val="0"/>
              <w:snapToGrid w:val="0"/>
              <w:jc w:val="center"/>
              <w:rPr>
                <w:rFonts w:hAnsi="仿宋" w:cs="仿宋"/>
                <w:kern w:val="0"/>
                <w:sz w:val="24"/>
                <w:szCs w:val="24"/>
              </w:rPr>
            </w:pPr>
            <w:r>
              <w:rPr>
                <w:rFonts w:hint="eastAsia" w:hAnsi="仿宋" w:cs="仿宋"/>
                <w:kern w:val="0"/>
                <w:sz w:val="24"/>
                <w:szCs w:val="24"/>
              </w:rPr>
              <w:t>严重缺陷项目</w:t>
            </w:r>
          </w:p>
        </w:tc>
        <w:tc>
          <w:tcPr>
            <w:tcW w:w="2835" w:type="dxa"/>
            <w:vAlign w:val="center"/>
          </w:tcPr>
          <w:p>
            <w:pPr>
              <w:tabs>
                <w:tab w:val="left" w:pos="0"/>
              </w:tabs>
              <w:adjustRightInd w:val="0"/>
              <w:snapToGrid w:val="0"/>
              <w:jc w:val="center"/>
              <w:rPr>
                <w:rFonts w:hAnsi="仿宋" w:cs="仿宋"/>
                <w:kern w:val="0"/>
                <w:sz w:val="24"/>
                <w:szCs w:val="24"/>
              </w:rPr>
            </w:pPr>
            <w:r>
              <w:rPr>
                <w:rFonts w:hint="eastAsia" w:hAnsi="仿宋" w:cs="仿宋"/>
                <w:kern w:val="0"/>
                <w:sz w:val="24"/>
                <w:szCs w:val="24"/>
              </w:rPr>
              <w:t>主要缺陷项目</w:t>
            </w:r>
          </w:p>
        </w:tc>
        <w:tc>
          <w:tcPr>
            <w:tcW w:w="3255" w:type="dxa"/>
            <w:tcBorders>
              <w:right w:val="single" w:color="auto" w:sz="4" w:space="0"/>
            </w:tcBorders>
            <w:vAlign w:val="center"/>
          </w:tcPr>
          <w:p>
            <w:pPr>
              <w:tabs>
                <w:tab w:val="left" w:pos="0"/>
              </w:tabs>
              <w:adjustRightInd w:val="0"/>
              <w:snapToGrid w:val="0"/>
              <w:jc w:val="center"/>
              <w:rPr>
                <w:rFonts w:hAnsi="仿宋" w:cs="仿宋"/>
                <w:kern w:val="0"/>
                <w:sz w:val="24"/>
                <w:szCs w:val="24"/>
              </w:rPr>
            </w:pPr>
            <w:r>
              <w:rPr>
                <w:rFonts w:hint="eastAsia" w:hAnsi="仿宋" w:cs="仿宋"/>
                <w:kern w:val="0"/>
                <w:sz w:val="24"/>
                <w:szCs w:val="24"/>
              </w:rPr>
              <w:t>一般缺陷项目</w:t>
            </w:r>
          </w:p>
        </w:tc>
        <w:tc>
          <w:tcPr>
            <w:tcW w:w="5565" w:type="dxa"/>
            <w:vMerge w:val="continue"/>
            <w:tcBorders>
              <w:left w:val="single" w:color="auto" w:sz="4" w:space="0"/>
            </w:tcBorders>
            <w:vAlign w:val="center"/>
          </w:tcPr>
          <w:p>
            <w:pPr>
              <w:tabs>
                <w:tab w:val="left" w:pos="0"/>
              </w:tabs>
              <w:adjustRightInd w:val="0"/>
              <w:snapToGrid w:val="0"/>
              <w:jc w:val="center"/>
              <w:rPr>
                <w:rFonts w:hAnsi="仿宋" w:cs="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313" w:type="dxa"/>
            <w:vAlign w:val="center"/>
          </w:tcPr>
          <w:p>
            <w:pPr>
              <w:tabs>
                <w:tab w:val="left" w:pos="0"/>
              </w:tabs>
              <w:adjustRightInd w:val="0"/>
              <w:snapToGrid w:val="0"/>
              <w:jc w:val="center"/>
              <w:rPr>
                <w:rFonts w:hAnsi="仿宋" w:cs="仿宋"/>
                <w:kern w:val="0"/>
                <w:sz w:val="24"/>
                <w:szCs w:val="24"/>
              </w:rPr>
            </w:pPr>
            <w:r>
              <w:rPr>
                <w:rFonts w:hint="eastAsia" w:hAnsi="仿宋" w:cs="仿宋"/>
                <w:kern w:val="0"/>
                <w:sz w:val="24"/>
                <w:szCs w:val="24"/>
              </w:rPr>
              <w:t>0</w:t>
            </w:r>
          </w:p>
        </w:tc>
        <w:tc>
          <w:tcPr>
            <w:tcW w:w="2835" w:type="dxa"/>
            <w:vAlign w:val="center"/>
          </w:tcPr>
          <w:p>
            <w:pPr>
              <w:tabs>
                <w:tab w:val="left" w:pos="0"/>
              </w:tabs>
              <w:adjustRightInd w:val="0"/>
              <w:snapToGrid w:val="0"/>
              <w:jc w:val="center"/>
              <w:rPr>
                <w:rFonts w:hAnsi="仿宋" w:cs="仿宋"/>
                <w:kern w:val="0"/>
                <w:sz w:val="24"/>
                <w:szCs w:val="24"/>
              </w:rPr>
            </w:pPr>
            <w:r>
              <w:rPr>
                <w:rFonts w:hint="eastAsia" w:hAnsi="仿宋" w:cs="仿宋"/>
                <w:kern w:val="0"/>
                <w:sz w:val="24"/>
                <w:szCs w:val="24"/>
              </w:rPr>
              <w:t>0</w:t>
            </w:r>
          </w:p>
        </w:tc>
        <w:tc>
          <w:tcPr>
            <w:tcW w:w="3255" w:type="dxa"/>
            <w:tcBorders>
              <w:right w:val="single" w:color="auto" w:sz="4" w:space="0"/>
            </w:tcBorders>
            <w:vAlign w:val="center"/>
          </w:tcPr>
          <w:p>
            <w:pPr>
              <w:tabs>
                <w:tab w:val="left" w:pos="0"/>
              </w:tabs>
              <w:adjustRightInd w:val="0"/>
              <w:snapToGrid w:val="0"/>
              <w:jc w:val="center"/>
              <w:rPr>
                <w:rFonts w:hAnsi="仿宋" w:cs="仿宋"/>
                <w:kern w:val="0"/>
                <w:sz w:val="24"/>
                <w:szCs w:val="24"/>
              </w:rPr>
            </w:pPr>
            <w:r>
              <w:rPr>
                <w:rFonts w:hint="eastAsia" w:hAnsi="仿宋" w:cs="仿宋"/>
                <w:kern w:val="0"/>
                <w:sz w:val="24"/>
                <w:szCs w:val="24"/>
              </w:rPr>
              <w:t>≤20%</w:t>
            </w:r>
          </w:p>
        </w:tc>
        <w:tc>
          <w:tcPr>
            <w:tcW w:w="5565" w:type="dxa"/>
            <w:tcBorders>
              <w:left w:val="single" w:color="auto" w:sz="4" w:space="0"/>
            </w:tcBorders>
            <w:vAlign w:val="center"/>
          </w:tcPr>
          <w:p>
            <w:pPr>
              <w:tabs>
                <w:tab w:val="left" w:pos="0"/>
              </w:tabs>
              <w:adjustRightInd w:val="0"/>
              <w:snapToGrid w:val="0"/>
              <w:jc w:val="center"/>
              <w:rPr>
                <w:rFonts w:hAnsi="仿宋" w:cs="仿宋"/>
                <w:kern w:val="0"/>
                <w:sz w:val="24"/>
                <w:szCs w:val="24"/>
              </w:rPr>
            </w:pPr>
            <w:r>
              <w:rPr>
                <w:rFonts w:hint="eastAsia" w:hAnsi="仿宋" w:cs="仿宋"/>
                <w:kern w:val="0"/>
                <w:sz w:val="24"/>
                <w:szCs w:val="24"/>
              </w:rPr>
              <w:t>通过检查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313" w:type="dxa"/>
            <w:vAlign w:val="center"/>
          </w:tcPr>
          <w:p>
            <w:pPr>
              <w:tabs>
                <w:tab w:val="left" w:pos="0"/>
              </w:tabs>
              <w:adjustRightInd w:val="0"/>
              <w:snapToGrid w:val="0"/>
              <w:jc w:val="center"/>
              <w:rPr>
                <w:rFonts w:hAnsi="仿宋" w:cs="仿宋"/>
                <w:kern w:val="0"/>
                <w:sz w:val="24"/>
                <w:szCs w:val="24"/>
              </w:rPr>
            </w:pPr>
            <w:r>
              <w:rPr>
                <w:rFonts w:hint="eastAsia" w:hAnsi="仿宋" w:cs="仿宋"/>
                <w:kern w:val="0"/>
                <w:sz w:val="24"/>
                <w:szCs w:val="24"/>
              </w:rPr>
              <w:t>0</w:t>
            </w:r>
          </w:p>
        </w:tc>
        <w:tc>
          <w:tcPr>
            <w:tcW w:w="2835" w:type="dxa"/>
            <w:vAlign w:val="center"/>
          </w:tcPr>
          <w:p>
            <w:pPr>
              <w:tabs>
                <w:tab w:val="left" w:pos="0"/>
              </w:tabs>
              <w:adjustRightInd w:val="0"/>
              <w:snapToGrid w:val="0"/>
              <w:jc w:val="center"/>
              <w:rPr>
                <w:rFonts w:hAnsi="仿宋" w:cs="仿宋"/>
                <w:kern w:val="0"/>
                <w:sz w:val="24"/>
                <w:szCs w:val="24"/>
              </w:rPr>
            </w:pPr>
            <w:r>
              <w:rPr>
                <w:rFonts w:hint="eastAsia" w:hAnsi="仿宋" w:cs="仿宋"/>
                <w:kern w:val="0"/>
                <w:sz w:val="24"/>
                <w:szCs w:val="24"/>
              </w:rPr>
              <w:t>0</w:t>
            </w:r>
          </w:p>
        </w:tc>
        <w:tc>
          <w:tcPr>
            <w:tcW w:w="3255" w:type="dxa"/>
            <w:tcBorders>
              <w:right w:val="single" w:color="auto" w:sz="4" w:space="0"/>
            </w:tcBorders>
            <w:vAlign w:val="center"/>
          </w:tcPr>
          <w:p>
            <w:pPr>
              <w:tabs>
                <w:tab w:val="left" w:pos="0"/>
              </w:tabs>
              <w:adjustRightInd w:val="0"/>
              <w:snapToGrid w:val="0"/>
              <w:jc w:val="center"/>
              <w:rPr>
                <w:rFonts w:hAnsi="仿宋" w:cs="仿宋"/>
                <w:kern w:val="0"/>
                <w:sz w:val="24"/>
                <w:szCs w:val="24"/>
              </w:rPr>
            </w:pPr>
            <w:r>
              <w:rPr>
                <w:rFonts w:hint="eastAsia" w:hAnsi="仿宋" w:cs="仿宋"/>
                <w:kern w:val="0"/>
                <w:sz w:val="24"/>
                <w:szCs w:val="24"/>
              </w:rPr>
              <w:t>20%～30%</w:t>
            </w:r>
          </w:p>
        </w:tc>
        <w:tc>
          <w:tcPr>
            <w:tcW w:w="5565" w:type="dxa"/>
            <w:vMerge w:val="restart"/>
            <w:tcBorders>
              <w:left w:val="single" w:color="auto" w:sz="4" w:space="0"/>
            </w:tcBorders>
            <w:vAlign w:val="center"/>
          </w:tcPr>
          <w:p>
            <w:pPr>
              <w:tabs>
                <w:tab w:val="left" w:pos="0"/>
              </w:tabs>
              <w:adjustRightInd w:val="0"/>
              <w:snapToGrid w:val="0"/>
              <w:jc w:val="center"/>
              <w:rPr>
                <w:rFonts w:hAnsi="仿宋" w:cs="仿宋"/>
                <w:kern w:val="0"/>
                <w:sz w:val="24"/>
                <w:szCs w:val="24"/>
              </w:rPr>
            </w:pPr>
            <w:r>
              <w:rPr>
                <w:rFonts w:hint="eastAsia" w:hAnsi="仿宋" w:cs="仿宋"/>
                <w:kern w:val="0"/>
                <w:sz w:val="24"/>
                <w:szCs w:val="24"/>
              </w:rPr>
              <w:t>限期整改后复核检查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313" w:type="dxa"/>
            <w:vAlign w:val="center"/>
          </w:tcPr>
          <w:p>
            <w:pPr>
              <w:tabs>
                <w:tab w:val="left" w:pos="0"/>
              </w:tabs>
              <w:adjustRightInd w:val="0"/>
              <w:snapToGrid w:val="0"/>
              <w:jc w:val="center"/>
              <w:rPr>
                <w:rFonts w:hAnsi="仿宋" w:cs="仿宋"/>
                <w:kern w:val="0"/>
                <w:sz w:val="24"/>
                <w:szCs w:val="24"/>
              </w:rPr>
            </w:pPr>
            <w:r>
              <w:rPr>
                <w:rFonts w:hint="eastAsia" w:hAnsi="仿宋" w:cs="仿宋"/>
                <w:kern w:val="0"/>
                <w:sz w:val="24"/>
                <w:szCs w:val="24"/>
              </w:rPr>
              <w:t>0</w:t>
            </w:r>
          </w:p>
        </w:tc>
        <w:tc>
          <w:tcPr>
            <w:tcW w:w="2835" w:type="dxa"/>
            <w:vAlign w:val="center"/>
          </w:tcPr>
          <w:p>
            <w:pPr>
              <w:tabs>
                <w:tab w:val="left" w:pos="0"/>
              </w:tabs>
              <w:adjustRightInd w:val="0"/>
              <w:snapToGrid w:val="0"/>
              <w:jc w:val="center"/>
              <w:rPr>
                <w:rFonts w:hAnsi="仿宋" w:cs="仿宋"/>
                <w:kern w:val="0"/>
                <w:sz w:val="24"/>
                <w:szCs w:val="24"/>
              </w:rPr>
            </w:pPr>
            <w:r>
              <w:rPr>
                <w:rFonts w:hint="eastAsia" w:hAnsi="仿宋" w:cs="仿宋"/>
                <w:kern w:val="0"/>
                <w:sz w:val="24"/>
                <w:szCs w:val="24"/>
              </w:rPr>
              <w:t>＜10%</w:t>
            </w:r>
          </w:p>
        </w:tc>
        <w:tc>
          <w:tcPr>
            <w:tcW w:w="3255" w:type="dxa"/>
            <w:tcBorders>
              <w:right w:val="single" w:color="auto" w:sz="4" w:space="0"/>
            </w:tcBorders>
            <w:vAlign w:val="center"/>
          </w:tcPr>
          <w:p>
            <w:pPr>
              <w:tabs>
                <w:tab w:val="left" w:pos="0"/>
              </w:tabs>
              <w:adjustRightInd w:val="0"/>
              <w:snapToGrid w:val="0"/>
              <w:jc w:val="center"/>
              <w:rPr>
                <w:rFonts w:hAnsi="仿宋" w:cs="仿宋"/>
                <w:kern w:val="0"/>
                <w:sz w:val="24"/>
                <w:szCs w:val="24"/>
              </w:rPr>
            </w:pPr>
            <w:r>
              <w:rPr>
                <w:rFonts w:hint="eastAsia" w:hAnsi="仿宋" w:cs="仿宋"/>
                <w:kern w:val="0"/>
                <w:sz w:val="24"/>
                <w:szCs w:val="24"/>
              </w:rPr>
              <w:t>＜20%</w:t>
            </w:r>
          </w:p>
        </w:tc>
        <w:tc>
          <w:tcPr>
            <w:tcW w:w="5565" w:type="dxa"/>
            <w:vMerge w:val="continue"/>
            <w:tcBorders>
              <w:left w:val="single" w:color="auto" w:sz="4" w:space="0"/>
            </w:tcBorders>
            <w:vAlign w:val="center"/>
          </w:tcPr>
          <w:p>
            <w:pPr>
              <w:tabs>
                <w:tab w:val="left" w:pos="0"/>
              </w:tabs>
              <w:adjustRightInd w:val="0"/>
              <w:snapToGrid w:val="0"/>
              <w:jc w:val="center"/>
              <w:rPr>
                <w:rFonts w:hAnsi="仿宋" w:cs="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313" w:type="dxa"/>
            <w:vAlign w:val="center"/>
          </w:tcPr>
          <w:p>
            <w:pPr>
              <w:tabs>
                <w:tab w:val="left" w:pos="0"/>
              </w:tabs>
              <w:adjustRightInd w:val="0"/>
              <w:snapToGrid w:val="0"/>
              <w:jc w:val="center"/>
              <w:rPr>
                <w:rFonts w:hAnsi="仿宋" w:cs="仿宋"/>
                <w:kern w:val="0"/>
                <w:sz w:val="24"/>
                <w:szCs w:val="24"/>
              </w:rPr>
            </w:pPr>
            <w:r>
              <w:rPr>
                <w:rFonts w:hint="eastAsia" w:hAnsi="仿宋" w:cs="仿宋"/>
                <w:kern w:val="0"/>
                <w:sz w:val="24"/>
                <w:szCs w:val="24"/>
              </w:rPr>
              <w:t>≥1</w:t>
            </w:r>
          </w:p>
        </w:tc>
        <w:tc>
          <w:tcPr>
            <w:tcW w:w="2835" w:type="dxa"/>
            <w:vAlign w:val="center"/>
          </w:tcPr>
          <w:p>
            <w:pPr>
              <w:tabs>
                <w:tab w:val="left" w:pos="0"/>
              </w:tabs>
              <w:adjustRightInd w:val="0"/>
              <w:snapToGrid w:val="0"/>
              <w:jc w:val="center"/>
              <w:rPr>
                <w:rFonts w:hAnsi="仿宋" w:cs="仿宋"/>
                <w:kern w:val="0"/>
                <w:sz w:val="24"/>
                <w:szCs w:val="24"/>
              </w:rPr>
            </w:pPr>
            <w:r>
              <w:rPr>
                <w:rFonts w:hint="eastAsia" w:hAnsi="仿宋" w:cs="仿宋"/>
                <w:kern w:val="0"/>
                <w:sz w:val="24"/>
                <w:szCs w:val="24"/>
              </w:rPr>
              <w:t>-</w:t>
            </w:r>
          </w:p>
        </w:tc>
        <w:tc>
          <w:tcPr>
            <w:tcW w:w="3255" w:type="dxa"/>
            <w:tcBorders>
              <w:right w:val="single" w:color="auto" w:sz="4" w:space="0"/>
            </w:tcBorders>
            <w:vAlign w:val="center"/>
          </w:tcPr>
          <w:p>
            <w:pPr>
              <w:tabs>
                <w:tab w:val="left" w:pos="0"/>
              </w:tabs>
              <w:adjustRightInd w:val="0"/>
              <w:snapToGrid w:val="0"/>
              <w:jc w:val="center"/>
              <w:rPr>
                <w:rFonts w:hAnsi="仿宋" w:cs="仿宋"/>
                <w:kern w:val="0"/>
                <w:sz w:val="24"/>
                <w:szCs w:val="24"/>
              </w:rPr>
            </w:pPr>
            <w:r>
              <w:rPr>
                <w:rFonts w:hint="eastAsia" w:hAnsi="仿宋" w:cs="仿宋"/>
                <w:kern w:val="0"/>
                <w:sz w:val="24"/>
                <w:szCs w:val="24"/>
              </w:rPr>
              <w:t>-</w:t>
            </w:r>
          </w:p>
        </w:tc>
        <w:tc>
          <w:tcPr>
            <w:tcW w:w="5565" w:type="dxa"/>
            <w:vMerge w:val="restart"/>
            <w:tcBorders>
              <w:left w:val="single" w:color="auto" w:sz="4" w:space="0"/>
            </w:tcBorders>
            <w:vAlign w:val="center"/>
          </w:tcPr>
          <w:p>
            <w:pPr>
              <w:tabs>
                <w:tab w:val="left" w:pos="0"/>
              </w:tabs>
              <w:adjustRightInd w:val="0"/>
              <w:snapToGrid w:val="0"/>
              <w:jc w:val="center"/>
              <w:rPr>
                <w:rFonts w:hAnsi="仿宋" w:cs="仿宋"/>
                <w:kern w:val="0"/>
                <w:sz w:val="24"/>
                <w:szCs w:val="24"/>
              </w:rPr>
            </w:pPr>
            <w:r>
              <w:rPr>
                <w:rFonts w:hint="eastAsia" w:hAnsi="仿宋" w:cs="仿宋"/>
                <w:kern w:val="0"/>
                <w:sz w:val="24"/>
                <w:szCs w:val="24"/>
              </w:rPr>
              <w:t>不通过检查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313" w:type="dxa"/>
            <w:vAlign w:val="center"/>
          </w:tcPr>
          <w:p>
            <w:pPr>
              <w:tabs>
                <w:tab w:val="left" w:pos="0"/>
              </w:tabs>
              <w:adjustRightInd w:val="0"/>
              <w:snapToGrid w:val="0"/>
              <w:jc w:val="center"/>
              <w:rPr>
                <w:rFonts w:hAnsi="仿宋" w:cs="仿宋"/>
                <w:kern w:val="0"/>
                <w:sz w:val="24"/>
                <w:szCs w:val="24"/>
              </w:rPr>
            </w:pPr>
            <w:r>
              <w:rPr>
                <w:rFonts w:hint="eastAsia" w:hAnsi="仿宋" w:cs="仿宋"/>
                <w:kern w:val="0"/>
                <w:sz w:val="24"/>
                <w:szCs w:val="24"/>
              </w:rPr>
              <w:t>0</w:t>
            </w:r>
          </w:p>
        </w:tc>
        <w:tc>
          <w:tcPr>
            <w:tcW w:w="2835" w:type="dxa"/>
            <w:vAlign w:val="center"/>
          </w:tcPr>
          <w:p>
            <w:pPr>
              <w:tabs>
                <w:tab w:val="left" w:pos="0"/>
              </w:tabs>
              <w:adjustRightInd w:val="0"/>
              <w:snapToGrid w:val="0"/>
              <w:jc w:val="center"/>
              <w:rPr>
                <w:rFonts w:hAnsi="仿宋" w:cs="仿宋"/>
                <w:kern w:val="0"/>
                <w:sz w:val="24"/>
                <w:szCs w:val="24"/>
              </w:rPr>
            </w:pPr>
            <w:r>
              <w:rPr>
                <w:rFonts w:hint="eastAsia" w:hAnsi="仿宋" w:cs="仿宋"/>
                <w:kern w:val="0"/>
                <w:sz w:val="24"/>
                <w:szCs w:val="24"/>
              </w:rPr>
              <w:t>≥10%</w:t>
            </w:r>
          </w:p>
        </w:tc>
        <w:tc>
          <w:tcPr>
            <w:tcW w:w="3255" w:type="dxa"/>
            <w:tcBorders>
              <w:right w:val="single" w:color="auto" w:sz="4" w:space="0"/>
            </w:tcBorders>
            <w:vAlign w:val="center"/>
          </w:tcPr>
          <w:p>
            <w:pPr>
              <w:tabs>
                <w:tab w:val="left" w:pos="0"/>
              </w:tabs>
              <w:adjustRightInd w:val="0"/>
              <w:snapToGrid w:val="0"/>
              <w:jc w:val="center"/>
              <w:rPr>
                <w:rFonts w:hAnsi="仿宋" w:cs="仿宋"/>
                <w:kern w:val="0"/>
                <w:sz w:val="24"/>
                <w:szCs w:val="24"/>
              </w:rPr>
            </w:pPr>
            <w:r>
              <w:rPr>
                <w:rFonts w:hint="eastAsia" w:hAnsi="仿宋" w:cs="仿宋"/>
                <w:kern w:val="0"/>
                <w:sz w:val="24"/>
                <w:szCs w:val="24"/>
              </w:rPr>
              <w:t>-</w:t>
            </w:r>
          </w:p>
        </w:tc>
        <w:tc>
          <w:tcPr>
            <w:tcW w:w="5565" w:type="dxa"/>
            <w:vMerge w:val="continue"/>
            <w:tcBorders>
              <w:left w:val="single" w:color="auto" w:sz="4" w:space="0"/>
            </w:tcBorders>
            <w:vAlign w:val="center"/>
          </w:tcPr>
          <w:p>
            <w:pPr>
              <w:tabs>
                <w:tab w:val="left" w:pos="0"/>
              </w:tabs>
              <w:adjustRightInd w:val="0"/>
              <w:snapToGrid w:val="0"/>
              <w:jc w:val="center"/>
              <w:rPr>
                <w:rFonts w:hAnsi="仿宋" w:cs="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313" w:type="dxa"/>
            <w:vAlign w:val="center"/>
          </w:tcPr>
          <w:p>
            <w:pPr>
              <w:tabs>
                <w:tab w:val="left" w:pos="0"/>
              </w:tabs>
              <w:adjustRightInd w:val="0"/>
              <w:snapToGrid w:val="0"/>
              <w:jc w:val="center"/>
              <w:rPr>
                <w:rFonts w:hAnsi="仿宋" w:cs="仿宋"/>
                <w:kern w:val="0"/>
                <w:sz w:val="24"/>
                <w:szCs w:val="24"/>
              </w:rPr>
            </w:pPr>
            <w:r>
              <w:rPr>
                <w:rFonts w:hint="eastAsia" w:hAnsi="仿宋" w:cs="仿宋"/>
                <w:kern w:val="0"/>
                <w:sz w:val="24"/>
                <w:szCs w:val="24"/>
              </w:rPr>
              <w:t>0</w:t>
            </w:r>
          </w:p>
        </w:tc>
        <w:tc>
          <w:tcPr>
            <w:tcW w:w="2835" w:type="dxa"/>
            <w:vAlign w:val="center"/>
          </w:tcPr>
          <w:p>
            <w:pPr>
              <w:tabs>
                <w:tab w:val="left" w:pos="0"/>
              </w:tabs>
              <w:adjustRightInd w:val="0"/>
              <w:snapToGrid w:val="0"/>
              <w:jc w:val="center"/>
              <w:rPr>
                <w:rFonts w:hAnsi="仿宋" w:cs="仿宋"/>
                <w:kern w:val="0"/>
                <w:sz w:val="24"/>
                <w:szCs w:val="24"/>
              </w:rPr>
            </w:pPr>
            <w:r>
              <w:rPr>
                <w:rFonts w:hint="eastAsia" w:hAnsi="仿宋" w:cs="仿宋"/>
                <w:kern w:val="0"/>
                <w:sz w:val="24"/>
                <w:szCs w:val="24"/>
              </w:rPr>
              <w:t>＜10%</w:t>
            </w:r>
          </w:p>
        </w:tc>
        <w:tc>
          <w:tcPr>
            <w:tcW w:w="3255" w:type="dxa"/>
            <w:tcBorders>
              <w:right w:val="single" w:color="auto" w:sz="4" w:space="0"/>
            </w:tcBorders>
            <w:vAlign w:val="center"/>
          </w:tcPr>
          <w:p>
            <w:pPr>
              <w:tabs>
                <w:tab w:val="left" w:pos="0"/>
              </w:tabs>
              <w:adjustRightInd w:val="0"/>
              <w:snapToGrid w:val="0"/>
              <w:jc w:val="center"/>
              <w:rPr>
                <w:rFonts w:hAnsi="仿宋" w:cs="仿宋"/>
                <w:kern w:val="0"/>
                <w:sz w:val="24"/>
                <w:szCs w:val="24"/>
              </w:rPr>
            </w:pPr>
            <w:r>
              <w:rPr>
                <w:rFonts w:hint="eastAsia" w:hAnsi="仿宋" w:cs="仿宋"/>
                <w:kern w:val="0"/>
                <w:sz w:val="24"/>
                <w:szCs w:val="24"/>
              </w:rPr>
              <w:t>≥20%</w:t>
            </w:r>
          </w:p>
        </w:tc>
        <w:tc>
          <w:tcPr>
            <w:tcW w:w="5565" w:type="dxa"/>
            <w:vMerge w:val="continue"/>
            <w:tcBorders>
              <w:left w:val="single" w:color="auto" w:sz="4" w:space="0"/>
            </w:tcBorders>
            <w:vAlign w:val="center"/>
          </w:tcPr>
          <w:p>
            <w:pPr>
              <w:tabs>
                <w:tab w:val="left" w:pos="0"/>
              </w:tabs>
              <w:adjustRightInd w:val="0"/>
              <w:snapToGrid w:val="0"/>
              <w:jc w:val="center"/>
              <w:rPr>
                <w:rFonts w:hAnsi="仿宋" w:cs="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313" w:type="dxa"/>
            <w:vAlign w:val="center"/>
          </w:tcPr>
          <w:p>
            <w:pPr>
              <w:tabs>
                <w:tab w:val="left" w:pos="0"/>
              </w:tabs>
              <w:adjustRightInd w:val="0"/>
              <w:snapToGrid w:val="0"/>
              <w:jc w:val="center"/>
              <w:rPr>
                <w:rFonts w:hAnsi="仿宋" w:cs="仿宋"/>
                <w:kern w:val="0"/>
                <w:sz w:val="24"/>
                <w:szCs w:val="24"/>
              </w:rPr>
            </w:pPr>
            <w:r>
              <w:rPr>
                <w:rFonts w:hint="eastAsia" w:hAnsi="仿宋" w:cs="仿宋"/>
                <w:kern w:val="0"/>
                <w:sz w:val="24"/>
                <w:szCs w:val="24"/>
              </w:rPr>
              <w:t>0</w:t>
            </w:r>
          </w:p>
        </w:tc>
        <w:tc>
          <w:tcPr>
            <w:tcW w:w="2835" w:type="dxa"/>
            <w:vAlign w:val="center"/>
          </w:tcPr>
          <w:p>
            <w:pPr>
              <w:tabs>
                <w:tab w:val="left" w:pos="0"/>
              </w:tabs>
              <w:adjustRightInd w:val="0"/>
              <w:snapToGrid w:val="0"/>
              <w:jc w:val="center"/>
              <w:rPr>
                <w:rFonts w:hAnsi="仿宋" w:cs="仿宋"/>
                <w:kern w:val="0"/>
                <w:sz w:val="24"/>
                <w:szCs w:val="24"/>
              </w:rPr>
            </w:pPr>
            <w:r>
              <w:rPr>
                <w:rFonts w:hint="eastAsia" w:hAnsi="仿宋" w:cs="仿宋"/>
                <w:kern w:val="0"/>
                <w:sz w:val="24"/>
                <w:szCs w:val="24"/>
              </w:rPr>
              <w:t>0</w:t>
            </w:r>
          </w:p>
        </w:tc>
        <w:tc>
          <w:tcPr>
            <w:tcW w:w="3255" w:type="dxa"/>
            <w:tcBorders>
              <w:right w:val="single" w:color="auto" w:sz="4" w:space="0"/>
            </w:tcBorders>
            <w:vAlign w:val="center"/>
          </w:tcPr>
          <w:p>
            <w:pPr>
              <w:tabs>
                <w:tab w:val="left" w:pos="0"/>
              </w:tabs>
              <w:adjustRightInd w:val="0"/>
              <w:snapToGrid w:val="0"/>
              <w:jc w:val="center"/>
              <w:rPr>
                <w:rFonts w:hAnsi="仿宋" w:cs="仿宋"/>
                <w:kern w:val="0"/>
                <w:sz w:val="24"/>
                <w:szCs w:val="24"/>
              </w:rPr>
            </w:pPr>
            <w:r>
              <w:rPr>
                <w:rFonts w:hint="eastAsia" w:hAnsi="仿宋" w:cs="仿宋"/>
                <w:kern w:val="0"/>
                <w:sz w:val="24"/>
                <w:szCs w:val="24"/>
              </w:rPr>
              <w:t>≥30%</w:t>
            </w:r>
          </w:p>
        </w:tc>
        <w:tc>
          <w:tcPr>
            <w:tcW w:w="5565" w:type="dxa"/>
            <w:vMerge w:val="continue"/>
            <w:tcBorders>
              <w:left w:val="single" w:color="auto" w:sz="4" w:space="0"/>
            </w:tcBorders>
            <w:vAlign w:val="center"/>
          </w:tcPr>
          <w:p>
            <w:pPr>
              <w:tabs>
                <w:tab w:val="left" w:pos="0"/>
              </w:tabs>
              <w:adjustRightInd w:val="0"/>
              <w:snapToGrid w:val="0"/>
              <w:jc w:val="center"/>
              <w:rPr>
                <w:rFonts w:hAnsi="仿宋" w:cs="仿宋"/>
                <w:kern w:val="0"/>
                <w:sz w:val="24"/>
                <w:szCs w:val="24"/>
              </w:rPr>
            </w:pPr>
          </w:p>
        </w:tc>
      </w:tr>
    </w:tbl>
    <w:p>
      <w:pPr>
        <w:tabs>
          <w:tab w:val="left" w:pos="0"/>
        </w:tabs>
        <w:adjustRightInd w:val="0"/>
        <w:spacing w:line="500" w:lineRule="exact"/>
        <w:rPr>
          <w:rFonts w:hAnsi="仿宋" w:cs="仿宋"/>
          <w:sz w:val="28"/>
          <w:szCs w:val="28"/>
        </w:rPr>
      </w:pPr>
      <w:r>
        <w:rPr>
          <w:rFonts w:hint="eastAsia" w:ascii="黑体" w:hAnsi="黑体" w:eastAsia="黑体" w:cs="仿宋"/>
          <w:sz w:val="28"/>
          <w:szCs w:val="28"/>
        </w:rPr>
        <w:t>注：</w:t>
      </w:r>
      <w:r>
        <w:rPr>
          <w:rFonts w:hint="eastAsia" w:hAnsi="仿宋" w:cs="仿宋"/>
          <w:sz w:val="28"/>
          <w:szCs w:val="28"/>
        </w:rPr>
        <w:t>缺陷项目比例数=对应的缺陷项目中不符合项目数/（对应缺陷项目总数-对应缺陷检查项目合理缺项数）×100%</w:t>
      </w:r>
    </w:p>
    <w:p>
      <w:pPr>
        <w:adjustRightInd w:val="0"/>
        <w:spacing w:line="240" w:lineRule="exact"/>
      </w:pPr>
    </w:p>
    <w:p>
      <w:pPr>
        <w:adjustRightInd w:val="0"/>
        <w:ind w:firstLine="640" w:firstLineChars="200"/>
      </w:pPr>
      <w:r>
        <w:rPr>
          <w:rFonts w:hint="eastAsia"/>
        </w:rPr>
        <w:t>六、监督检查结果判定：</w:t>
      </w:r>
    </w:p>
    <w:tbl>
      <w:tblPr>
        <w:tblStyle w:val="16"/>
        <w:tblW w:w="137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99"/>
        <w:gridCol w:w="3103"/>
        <w:gridCol w:w="2451"/>
        <w:gridCol w:w="5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8053" w:type="dxa"/>
            <w:gridSpan w:val="3"/>
            <w:tcBorders>
              <w:top w:val="single" w:color="000000" w:sz="4" w:space="0"/>
              <w:left w:val="single" w:color="000000" w:sz="4" w:space="0"/>
              <w:bottom w:val="single" w:color="000000" w:sz="4" w:space="0"/>
              <w:right w:val="single" w:color="auto" w:sz="4" w:space="0"/>
            </w:tcBorders>
            <w:vAlign w:val="center"/>
          </w:tcPr>
          <w:p>
            <w:pPr>
              <w:tabs>
                <w:tab w:val="left" w:pos="0"/>
              </w:tabs>
              <w:jc w:val="center"/>
              <w:rPr>
                <w:rFonts w:hAnsi="仿宋" w:cs="仿宋"/>
                <w:kern w:val="0"/>
                <w:sz w:val="24"/>
                <w:szCs w:val="24"/>
              </w:rPr>
            </w:pPr>
            <w:r>
              <w:rPr>
                <w:rFonts w:hint="eastAsia" w:hAnsi="仿宋" w:cs="仿宋"/>
                <w:kern w:val="0"/>
                <w:sz w:val="24"/>
                <w:szCs w:val="24"/>
              </w:rPr>
              <w:t>检查项目</w:t>
            </w:r>
          </w:p>
        </w:tc>
        <w:tc>
          <w:tcPr>
            <w:tcW w:w="5668" w:type="dxa"/>
            <w:vMerge w:val="restart"/>
            <w:tcBorders>
              <w:top w:val="single" w:color="000000" w:sz="4" w:space="0"/>
              <w:left w:val="single" w:color="auto" w:sz="4" w:space="0"/>
              <w:bottom w:val="single" w:color="000000" w:sz="4" w:space="0"/>
              <w:right w:val="single" w:color="000000" w:sz="4" w:space="0"/>
            </w:tcBorders>
            <w:vAlign w:val="center"/>
          </w:tcPr>
          <w:p>
            <w:pPr>
              <w:tabs>
                <w:tab w:val="left" w:pos="0"/>
              </w:tabs>
              <w:jc w:val="center"/>
              <w:rPr>
                <w:rFonts w:hAnsi="仿宋" w:cs="仿宋"/>
                <w:kern w:val="0"/>
                <w:sz w:val="24"/>
                <w:szCs w:val="24"/>
              </w:rPr>
            </w:pPr>
            <w:r>
              <w:rPr>
                <w:rFonts w:hint="eastAsia" w:hAnsi="仿宋" w:cs="仿宋"/>
                <w:kern w:val="0"/>
                <w:sz w:val="24"/>
                <w:szCs w:val="24"/>
              </w:rPr>
              <w:t>结果判定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2499" w:type="dxa"/>
            <w:tcBorders>
              <w:top w:val="single" w:color="000000" w:sz="4" w:space="0"/>
              <w:left w:val="single" w:color="000000" w:sz="4" w:space="0"/>
              <w:bottom w:val="single" w:color="000000" w:sz="4" w:space="0"/>
              <w:right w:val="single" w:color="000000" w:sz="4" w:space="0"/>
            </w:tcBorders>
            <w:vAlign w:val="center"/>
          </w:tcPr>
          <w:p>
            <w:pPr>
              <w:tabs>
                <w:tab w:val="left" w:pos="0"/>
              </w:tabs>
              <w:jc w:val="center"/>
              <w:rPr>
                <w:rFonts w:hAnsi="仿宋" w:cs="仿宋"/>
                <w:kern w:val="0"/>
                <w:sz w:val="24"/>
                <w:szCs w:val="24"/>
              </w:rPr>
            </w:pPr>
            <w:r>
              <w:rPr>
                <w:rFonts w:hint="eastAsia" w:hAnsi="仿宋" w:cs="仿宋"/>
                <w:kern w:val="0"/>
                <w:sz w:val="24"/>
                <w:szCs w:val="24"/>
              </w:rPr>
              <w:t>严重缺陷项目</w:t>
            </w:r>
          </w:p>
        </w:tc>
        <w:tc>
          <w:tcPr>
            <w:tcW w:w="3103" w:type="dxa"/>
            <w:tcBorders>
              <w:top w:val="single" w:color="000000" w:sz="4" w:space="0"/>
              <w:left w:val="single" w:color="000000" w:sz="4" w:space="0"/>
              <w:bottom w:val="single" w:color="000000" w:sz="4" w:space="0"/>
              <w:right w:val="single" w:color="000000" w:sz="4" w:space="0"/>
            </w:tcBorders>
            <w:vAlign w:val="center"/>
          </w:tcPr>
          <w:p>
            <w:pPr>
              <w:tabs>
                <w:tab w:val="left" w:pos="0"/>
              </w:tabs>
              <w:jc w:val="center"/>
              <w:rPr>
                <w:rFonts w:hAnsi="仿宋" w:cs="仿宋"/>
                <w:kern w:val="0"/>
                <w:sz w:val="24"/>
                <w:szCs w:val="24"/>
              </w:rPr>
            </w:pPr>
            <w:r>
              <w:rPr>
                <w:rFonts w:hint="eastAsia" w:hAnsi="仿宋" w:cs="仿宋"/>
                <w:kern w:val="0"/>
                <w:sz w:val="24"/>
                <w:szCs w:val="24"/>
              </w:rPr>
              <w:t>主要缺陷项目</w:t>
            </w:r>
          </w:p>
        </w:tc>
        <w:tc>
          <w:tcPr>
            <w:tcW w:w="2451" w:type="dxa"/>
            <w:tcBorders>
              <w:top w:val="single" w:color="000000" w:sz="4" w:space="0"/>
              <w:left w:val="single" w:color="000000" w:sz="4" w:space="0"/>
              <w:bottom w:val="single" w:color="000000" w:sz="4" w:space="0"/>
              <w:right w:val="single" w:color="auto" w:sz="4" w:space="0"/>
            </w:tcBorders>
            <w:vAlign w:val="center"/>
          </w:tcPr>
          <w:p>
            <w:pPr>
              <w:tabs>
                <w:tab w:val="left" w:pos="0"/>
              </w:tabs>
              <w:jc w:val="center"/>
              <w:rPr>
                <w:rFonts w:hAnsi="仿宋" w:cs="仿宋"/>
                <w:kern w:val="0"/>
                <w:sz w:val="24"/>
                <w:szCs w:val="24"/>
              </w:rPr>
            </w:pPr>
            <w:r>
              <w:rPr>
                <w:rFonts w:hint="eastAsia" w:hAnsi="仿宋" w:cs="仿宋"/>
                <w:kern w:val="0"/>
                <w:sz w:val="24"/>
                <w:szCs w:val="24"/>
              </w:rPr>
              <w:t>一般缺陷项目</w:t>
            </w:r>
          </w:p>
        </w:tc>
        <w:tc>
          <w:tcPr>
            <w:tcW w:w="5668" w:type="dxa"/>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hAnsi="仿宋" w:cs="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2499" w:type="dxa"/>
            <w:tcBorders>
              <w:top w:val="single" w:color="000000" w:sz="4" w:space="0"/>
              <w:left w:val="single" w:color="000000" w:sz="4" w:space="0"/>
              <w:bottom w:val="single" w:color="000000" w:sz="4" w:space="0"/>
              <w:right w:val="single" w:color="000000" w:sz="4" w:space="0"/>
            </w:tcBorders>
            <w:vAlign w:val="center"/>
          </w:tcPr>
          <w:p>
            <w:pPr>
              <w:tabs>
                <w:tab w:val="left" w:pos="0"/>
              </w:tabs>
              <w:jc w:val="center"/>
              <w:rPr>
                <w:rFonts w:hAnsi="仿宋" w:cs="仿宋"/>
                <w:kern w:val="0"/>
                <w:sz w:val="24"/>
                <w:szCs w:val="24"/>
              </w:rPr>
            </w:pPr>
            <w:r>
              <w:rPr>
                <w:rFonts w:hint="eastAsia" w:hAnsi="仿宋" w:cs="仿宋"/>
                <w:kern w:val="0"/>
                <w:sz w:val="24"/>
                <w:szCs w:val="24"/>
              </w:rPr>
              <w:t>0</w:t>
            </w:r>
          </w:p>
        </w:tc>
        <w:tc>
          <w:tcPr>
            <w:tcW w:w="3103" w:type="dxa"/>
            <w:tcBorders>
              <w:top w:val="single" w:color="000000" w:sz="4" w:space="0"/>
              <w:left w:val="single" w:color="000000" w:sz="4" w:space="0"/>
              <w:bottom w:val="single" w:color="000000" w:sz="4" w:space="0"/>
              <w:right w:val="single" w:color="000000" w:sz="4" w:space="0"/>
            </w:tcBorders>
            <w:vAlign w:val="center"/>
          </w:tcPr>
          <w:p>
            <w:pPr>
              <w:tabs>
                <w:tab w:val="left" w:pos="0"/>
              </w:tabs>
              <w:jc w:val="center"/>
              <w:rPr>
                <w:rFonts w:hAnsi="仿宋" w:cs="仿宋"/>
                <w:kern w:val="0"/>
                <w:sz w:val="24"/>
                <w:szCs w:val="24"/>
              </w:rPr>
            </w:pPr>
            <w:r>
              <w:rPr>
                <w:rFonts w:hint="eastAsia" w:hAnsi="仿宋" w:cs="仿宋"/>
                <w:kern w:val="0"/>
                <w:sz w:val="24"/>
                <w:szCs w:val="24"/>
              </w:rPr>
              <w:t>0</w:t>
            </w:r>
          </w:p>
        </w:tc>
        <w:tc>
          <w:tcPr>
            <w:tcW w:w="2451" w:type="dxa"/>
            <w:tcBorders>
              <w:top w:val="single" w:color="000000" w:sz="4" w:space="0"/>
              <w:left w:val="single" w:color="000000" w:sz="4" w:space="0"/>
              <w:bottom w:val="single" w:color="000000" w:sz="4" w:space="0"/>
              <w:right w:val="single" w:color="auto" w:sz="4" w:space="0"/>
            </w:tcBorders>
            <w:vAlign w:val="center"/>
          </w:tcPr>
          <w:p>
            <w:pPr>
              <w:tabs>
                <w:tab w:val="left" w:pos="0"/>
              </w:tabs>
              <w:jc w:val="center"/>
              <w:rPr>
                <w:rFonts w:hAnsi="仿宋" w:cs="仿宋"/>
                <w:kern w:val="0"/>
                <w:sz w:val="24"/>
                <w:szCs w:val="24"/>
              </w:rPr>
            </w:pPr>
            <w:r>
              <w:rPr>
                <w:rFonts w:hint="eastAsia" w:hAnsi="仿宋" w:cs="仿宋"/>
                <w:kern w:val="0"/>
                <w:sz w:val="24"/>
                <w:szCs w:val="24"/>
              </w:rPr>
              <w:t>0</w:t>
            </w:r>
          </w:p>
        </w:tc>
        <w:tc>
          <w:tcPr>
            <w:tcW w:w="5668" w:type="dxa"/>
            <w:tcBorders>
              <w:top w:val="single" w:color="000000" w:sz="4" w:space="0"/>
              <w:left w:val="single" w:color="auto" w:sz="4" w:space="0"/>
              <w:bottom w:val="single" w:color="000000" w:sz="4" w:space="0"/>
              <w:right w:val="single" w:color="000000" w:sz="4" w:space="0"/>
            </w:tcBorders>
            <w:vAlign w:val="center"/>
          </w:tcPr>
          <w:p>
            <w:pPr>
              <w:tabs>
                <w:tab w:val="left" w:pos="0"/>
              </w:tabs>
              <w:jc w:val="center"/>
              <w:rPr>
                <w:rFonts w:hAnsi="仿宋" w:cs="仿宋"/>
                <w:kern w:val="0"/>
                <w:sz w:val="24"/>
                <w:szCs w:val="24"/>
              </w:rPr>
            </w:pPr>
            <w:r>
              <w:rPr>
                <w:rFonts w:hint="eastAsia" w:hAnsi="仿宋" w:cs="仿宋"/>
                <w:kern w:val="0"/>
                <w:sz w:val="24"/>
                <w:szCs w:val="24"/>
              </w:rPr>
              <w:t>符合医用氧批发企业检查要点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2499" w:type="dxa"/>
            <w:tcBorders>
              <w:top w:val="single" w:color="000000" w:sz="4" w:space="0"/>
              <w:left w:val="single" w:color="000000" w:sz="4" w:space="0"/>
              <w:bottom w:val="single" w:color="000000" w:sz="4" w:space="0"/>
              <w:right w:val="single" w:color="000000" w:sz="4" w:space="0"/>
            </w:tcBorders>
            <w:vAlign w:val="center"/>
          </w:tcPr>
          <w:p>
            <w:pPr>
              <w:tabs>
                <w:tab w:val="left" w:pos="0"/>
              </w:tabs>
              <w:jc w:val="center"/>
              <w:rPr>
                <w:rFonts w:hAnsi="仿宋" w:cs="仿宋"/>
                <w:kern w:val="0"/>
                <w:sz w:val="24"/>
                <w:szCs w:val="24"/>
              </w:rPr>
            </w:pPr>
            <w:r>
              <w:rPr>
                <w:rFonts w:hint="eastAsia" w:hAnsi="仿宋" w:cs="仿宋"/>
                <w:kern w:val="0"/>
                <w:sz w:val="24"/>
                <w:szCs w:val="24"/>
              </w:rPr>
              <w:t>0</w:t>
            </w:r>
          </w:p>
        </w:tc>
        <w:tc>
          <w:tcPr>
            <w:tcW w:w="3103" w:type="dxa"/>
            <w:tcBorders>
              <w:top w:val="single" w:color="000000" w:sz="4" w:space="0"/>
              <w:left w:val="single" w:color="000000" w:sz="4" w:space="0"/>
              <w:bottom w:val="single" w:color="000000" w:sz="4" w:space="0"/>
              <w:right w:val="single" w:color="000000" w:sz="4" w:space="0"/>
            </w:tcBorders>
            <w:vAlign w:val="center"/>
          </w:tcPr>
          <w:p>
            <w:pPr>
              <w:tabs>
                <w:tab w:val="left" w:pos="0"/>
              </w:tabs>
              <w:jc w:val="center"/>
              <w:rPr>
                <w:rFonts w:hAnsi="仿宋" w:cs="仿宋"/>
                <w:kern w:val="0"/>
                <w:sz w:val="24"/>
                <w:szCs w:val="24"/>
              </w:rPr>
            </w:pPr>
            <w:r>
              <w:rPr>
                <w:rFonts w:hint="eastAsia" w:hAnsi="仿宋" w:cs="仿宋"/>
                <w:kern w:val="0"/>
                <w:sz w:val="24"/>
                <w:szCs w:val="24"/>
              </w:rPr>
              <w:t>0</w:t>
            </w:r>
          </w:p>
        </w:tc>
        <w:tc>
          <w:tcPr>
            <w:tcW w:w="2451" w:type="dxa"/>
            <w:tcBorders>
              <w:top w:val="single" w:color="000000" w:sz="4" w:space="0"/>
              <w:left w:val="single" w:color="000000" w:sz="4" w:space="0"/>
              <w:bottom w:val="single" w:color="000000" w:sz="4" w:space="0"/>
              <w:right w:val="single" w:color="auto" w:sz="4" w:space="0"/>
            </w:tcBorders>
            <w:vAlign w:val="center"/>
          </w:tcPr>
          <w:p>
            <w:pPr>
              <w:tabs>
                <w:tab w:val="left" w:pos="0"/>
              </w:tabs>
              <w:jc w:val="center"/>
              <w:rPr>
                <w:rFonts w:hAnsi="仿宋" w:cs="仿宋"/>
                <w:kern w:val="0"/>
                <w:sz w:val="24"/>
                <w:szCs w:val="24"/>
              </w:rPr>
            </w:pPr>
            <w:r>
              <w:rPr>
                <w:rFonts w:hint="eastAsia" w:hAnsi="仿宋" w:cs="仿宋"/>
                <w:kern w:val="0"/>
                <w:sz w:val="24"/>
                <w:szCs w:val="24"/>
              </w:rPr>
              <w:t>＜17</w:t>
            </w:r>
          </w:p>
        </w:tc>
        <w:tc>
          <w:tcPr>
            <w:tcW w:w="5668" w:type="dxa"/>
            <w:vMerge w:val="restart"/>
            <w:tcBorders>
              <w:top w:val="single" w:color="000000" w:sz="4" w:space="0"/>
              <w:left w:val="single" w:color="auto" w:sz="4" w:space="0"/>
              <w:bottom w:val="single" w:color="000000" w:sz="4" w:space="0"/>
              <w:right w:val="single" w:color="000000" w:sz="4" w:space="0"/>
            </w:tcBorders>
            <w:vAlign w:val="center"/>
          </w:tcPr>
          <w:p>
            <w:pPr>
              <w:tabs>
                <w:tab w:val="left" w:pos="0"/>
              </w:tabs>
              <w:jc w:val="center"/>
              <w:rPr>
                <w:rFonts w:hAnsi="仿宋" w:cs="仿宋"/>
                <w:kern w:val="0"/>
                <w:sz w:val="24"/>
                <w:szCs w:val="24"/>
              </w:rPr>
            </w:pPr>
            <w:r>
              <w:rPr>
                <w:rFonts w:hint="eastAsia" w:hAnsi="仿宋" w:cs="仿宋"/>
                <w:kern w:val="0"/>
                <w:sz w:val="24"/>
                <w:szCs w:val="24"/>
              </w:rPr>
              <w:t>违反医用氧批发企业检查要点限期整改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2499" w:type="dxa"/>
            <w:tcBorders>
              <w:top w:val="single" w:color="000000" w:sz="4" w:space="0"/>
              <w:left w:val="single" w:color="000000" w:sz="4" w:space="0"/>
              <w:bottom w:val="single" w:color="000000" w:sz="4" w:space="0"/>
              <w:right w:val="single" w:color="000000" w:sz="4" w:space="0"/>
            </w:tcBorders>
            <w:vAlign w:val="center"/>
          </w:tcPr>
          <w:p>
            <w:pPr>
              <w:tabs>
                <w:tab w:val="left" w:pos="0"/>
              </w:tabs>
              <w:jc w:val="center"/>
              <w:rPr>
                <w:rFonts w:hAnsi="仿宋" w:cs="仿宋"/>
                <w:kern w:val="0"/>
                <w:sz w:val="24"/>
                <w:szCs w:val="24"/>
              </w:rPr>
            </w:pPr>
            <w:r>
              <w:rPr>
                <w:rFonts w:hint="eastAsia" w:hAnsi="仿宋" w:cs="仿宋"/>
                <w:kern w:val="0"/>
                <w:sz w:val="24"/>
                <w:szCs w:val="24"/>
              </w:rPr>
              <w:t>0</w:t>
            </w:r>
          </w:p>
        </w:tc>
        <w:tc>
          <w:tcPr>
            <w:tcW w:w="3103" w:type="dxa"/>
            <w:tcBorders>
              <w:top w:val="single" w:color="000000" w:sz="4" w:space="0"/>
              <w:left w:val="single" w:color="000000" w:sz="4" w:space="0"/>
              <w:bottom w:val="single" w:color="000000" w:sz="4" w:space="0"/>
              <w:right w:val="single" w:color="000000" w:sz="4" w:space="0"/>
            </w:tcBorders>
            <w:vAlign w:val="center"/>
          </w:tcPr>
          <w:p>
            <w:pPr>
              <w:tabs>
                <w:tab w:val="left" w:pos="0"/>
              </w:tabs>
              <w:jc w:val="center"/>
              <w:rPr>
                <w:rFonts w:hAnsi="仿宋" w:cs="仿宋"/>
                <w:kern w:val="0"/>
                <w:sz w:val="24"/>
                <w:szCs w:val="24"/>
              </w:rPr>
            </w:pPr>
            <w:r>
              <w:rPr>
                <w:rFonts w:hint="eastAsia" w:hAnsi="仿宋" w:cs="仿宋"/>
                <w:kern w:val="0"/>
                <w:sz w:val="24"/>
                <w:szCs w:val="24"/>
              </w:rPr>
              <w:t>＜7</w:t>
            </w:r>
          </w:p>
        </w:tc>
        <w:tc>
          <w:tcPr>
            <w:tcW w:w="2451" w:type="dxa"/>
            <w:tcBorders>
              <w:top w:val="single" w:color="000000" w:sz="4" w:space="0"/>
              <w:left w:val="single" w:color="000000" w:sz="4" w:space="0"/>
              <w:bottom w:val="single" w:color="000000" w:sz="4" w:space="0"/>
              <w:right w:val="single" w:color="auto" w:sz="4" w:space="0"/>
            </w:tcBorders>
            <w:vAlign w:val="center"/>
          </w:tcPr>
          <w:p>
            <w:pPr>
              <w:tabs>
                <w:tab w:val="left" w:pos="0"/>
              </w:tabs>
              <w:jc w:val="center"/>
              <w:rPr>
                <w:rFonts w:hAnsi="仿宋" w:cs="仿宋"/>
                <w:kern w:val="0"/>
                <w:sz w:val="24"/>
                <w:szCs w:val="24"/>
              </w:rPr>
            </w:pPr>
            <w:r>
              <w:rPr>
                <w:rFonts w:hint="eastAsia" w:hAnsi="仿宋" w:cs="仿宋"/>
                <w:kern w:val="0"/>
                <w:sz w:val="24"/>
                <w:szCs w:val="24"/>
              </w:rPr>
              <w:t>＜12</w:t>
            </w:r>
          </w:p>
        </w:tc>
        <w:tc>
          <w:tcPr>
            <w:tcW w:w="5668" w:type="dxa"/>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hAnsi="仿宋" w:cs="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2499" w:type="dxa"/>
            <w:tcBorders>
              <w:top w:val="single" w:color="000000" w:sz="4" w:space="0"/>
              <w:left w:val="single" w:color="000000" w:sz="4" w:space="0"/>
              <w:bottom w:val="single" w:color="000000" w:sz="4" w:space="0"/>
              <w:right w:val="single" w:color="000000" w:sz="4" w:space="0"/>
            </w:tcBorders>
            <w:vAlign w:val="center"/>
          </w:tcPr>
          <w:p>
            <w:pPr>
              <w:tabs>
                <w:tab w:val="left" w:pos="0"/>
              </w:tabs>
              <w:jc w:val="center"/>
              <w:rPr>
                <w:rFonts w:hAnsi="仿宋" w:cs="仿宋"/>
                <w:kern w:val="0"/>
                <w:sz w:val="24"/>
                <w:szCs w:val="24"/>
              </w:rPr>
            </w:pPr>
            <w:r>
              <w:rPr>
                <w:rFonts w:hint="eastAsia" w:hAnsi="仿宋" w:cs="仿宋"/>
                <w:kern w:val="0"/>
                <w:sz w:val="24"/>
                <w:szCs w:val="24"/>
              </w:rPr>
              <w:t>≥1</w:t>
            </w:r>
          </w:p>
        </w:tc>
        <w:tc>
          <w:tcPr>
            <w:tcW w:w="3103" w:type="dxa"/>
            <w:tcBorders>
              <w:top w:val="single" w:color="000000" w:sz="4" w:space="0"/>
              <w:left w:val="single" w:color="000000" w:sz="4" w:space="0"/>
              <w:bottom w:val="single" w:color="000000" w:sz="4" w:space="0"/>
              <w:right w:val="single" w:color="000000" w:sz="4" w:space="0"/>
            </w:tcBorders>
            <w:vAlign w:val="center"/>
          </w:tcPr>
          <w:p>
            <w:pPr>
              <w:tabs>
                <w:tab w:val="left" w:pos="0"/>
              </w:tabs>
              <w:jc w:val="center"/>
              <w:rPr>
                <w:rFonts w:hAnsi="仿宋" w:cs="仿宋"/>
                <w:kern w:val="0"/>
                <w:sz w:val="24"/>
                <w:szCs w:val="24"/>
              </w:rPr>
            </w:pPr>
            <w:r>
              <w:rPr>
                <w:rFonts w:hint="eastAsia" w:hAnsi="仿宋" w:cs="仿宋"/>
                <w:kern w:val="0"/>
                <w:sz w:val="24"/>
                <w:szCs w:val="24"/>
              </w:rPr>
              <w:t>-</w:t>
            </w:r>
          </w:p>
        </w:tc>
        <w:tc>
          <w:tcPr>
            <w:tcW w:w="2451" w:type="dxa"/>
            <w:tcBorders>
              <w:top w:val="single" w:color="000000" w:sz="4" w:space="0"/>
              <w:left w:val="single" w:color="000000" w:sz="4" w:space="0"/>
              <w:bottom w:val="single" w:color="000000" w:sz="4" w:space="0"/>
              <w:right w:val="single" w:color="auto" w:sz="4" w:space="0"/>
            </w:tcBorders>
            <w:vAlign w:val="center"/>
          </w:tcPr>
          <w:p>
            <w:pPr>
              <w:tabs>
                <w:tab w:val="left" w:pos="0"/>
              </w:tabs>
              <w:jc w:val="center"/>
              <w:rPr>
                <w:rFonts w:hAnsi="仿宋" w:cs="仿宋"/>
                <w:kern w:val="0"/>
                <w:sz w:val="24"/>
                <w:szCs w:val="24"/>
              </w:rPr>
            </w:pPr>
            <w:r>
              <w:rPr>
                <w:rFonts w:hint="eastAsia" w:hAnsi="仿宋" w:cs="仿宋"/>
                <w:kern w:val="0"/>
                <w:sz w:val="24"/>
                <w:szCs w:val="24"/>
              </w:rPr>
              <w:t>-</w:t>
            </w:r>
          </w:p>
        </w:tc>
        <w:tc>
          <w:tcPr>
            <w:tcW w:w="5668" w:type="dxa"/>
            <w:vMerge w:val="restart"/>
            <w:tcBorders>
              <w:top w:val="single" w:color="000000" w:sz="4" w:space="0"/>
              <w:left w:val="single" w:color="auto" w:sz="4" w:space="0"/>
              <w:bottom w:val="single" w:color="000000" w:sz="4" w:space="0"/>
              <w:right w:val="single" w:color="000000" w:sz="4" w:space="0"/>
            </w:tcBorders>
            <w:vAlign w:val="center"/>
          </w:tcPr>
          <w:p>
            <w:pPr>
              <w:tabs>
                <w:tab w:val="left" w:pos="0"/>
              </w:tabs>
              <w:jc w:val="center"/>
              <w:rPr>
                <w:rFonts w:hAnsi="仿宋" w:cs="仿宋"/>
                <w:kern w:val="0"/>
                <w:sz w:val="24"/>
                <w:szCs w:val="24"/>
              </w:rPr>
            </w:pPr>
            <w:r>
              <w:rPr>
                <w:rFonts w:hint="eastAsia" w:hAnsi="仿宋" w:cs="仿宋"/>
                <w:kern w:val="0"/>
                <w:sz w:val="24"/>
                <w:szCs w:val="24"/>
              </w:rPr>
              <w:t>严重违反医用氧批发企业检查要点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2499" w:type="dxa"/>
            <w:tcBorders>
              <w:top w:val="single" w:color="000000" w:sz="4" w:space="0"/>
              <w:left w:val="single" w:color="000000" w:sz="4" w:space="0"/>
              <w:bottom w:val="single" w:color="000000" w:sz="4" w:space="0"/>
              <w:right w:val="single" w:color="000000" w:sz="4" w:space="0"/>
            </w:tcBorders>
            <w:vAlign w:val="center"/>
          </w:tcPr>
          <w:p>
            <w:pPr>
              <w:tabs>
                <w:tab w:val="left" w:pos="0"/>
              </w:tabs>
              <w:jc w:val="center"/>
              <w:rPr>
                <w:rFonts w:hAnsi="仿宋" w:cs="仿宋"/>
                <w:kern w:val="0"/>
                <w:sz w:val="24"/>
                <w:szCs w:val="24"/>
              </w:rPr>
            </w:pPr>
            <w:r>
              <w:rPr>
                <w:rFonts w:hint="eastAsia" w:hAnsi="仿宋" w:cs="仿宋"/>
                <w:kern w:val="0"/>
                <w:sz w:val="24"/>
                <w:szCs w:val="24"/>
              </w:rPr>
              <w:t>0</w:t>
            </w:r>
          </w:p>
        </w:tc>
        <w:tc>
          <w:tcPr>
            <w:tcW w:w="3103" w:type="dxa"/>
            <w:tcBorders>
              <w:top w:val="single" w:color="000000" w:sz="4" w:space="0"/>
              <w:left w:val="single" w:color="000000" w:sz="4" w:space="0"/>
              <w:bottom w:val="single" w:color="000000" w:sz="4" w:space="0"/>
              <w:right w:val="single" w:color="000000" w:sz="4" w:space="0"/>
            </w:tcBorders>
            <w:vAlign w:val="center"/>
          </w:tcPr>
          <w:p>
            <w:pPr>
              <w:tabs>
                <w:tab w:val="left" w:pos="0"/>
              </w:tabs>
              <w:jc w:val="center"/>
              <w:rPr>
                <w:rFonts w:hAnsi="仿宋" w:cs="仿宋"/>
                <w:kern w:val="0"/>
                <w:sz w:val="24"/>
                <w:szCs w:val="24"/>
              </w:rPr>
            </w:pPr>
            <w:r>
              <w:rPr>
                <w:rFonts w:hint="eastAsia" w:hAnsi="仿宋" w:cs="仿宋"/>
                <w:kern w:val="0"/>
                <w:sz w:val="24"/>
                <w:szCs w:val="24"/>
              </w:rPr>
              <w:t>≥7</w:t>
            </w:r>
          </w:p>
        </w:tc>
        <w:tc>
          <w:tcPr>
            <w:tcW w:w="2451" w:type="dxa"/>
            <w:tcBorders>
              <w:top w:val="single" w:color="000000" w:sz="4" w:space="0"/>
              <w:left w:val="single" w:color="000000" w:sz="4" w:space="0"/>
              <w:bottom w:val="single" w:color="000000" w:sz="4" w:space="0"/>
              <w:right w:val="single" w:color="auto" w:sz="4" w:space="0"/>
            </w:tcBorders>
            <w:vAlign w:val="center"/>
          </w:tcPr>
          <w:p>
            <w:pPr>
              <w:tabs>
                <w:tab w:val="left" w:pos="0"/>
              </w:tabs>
              <w:jc w:val="center"/>
              <w:rPr>
                <w:rFonts w:hAnsi="仿宋" w:cs="仿宋"/>
                <w:kern w:val="0"/>
                <w:sz w:val="24"/>
                <w:szCs w:val="24"/>
              </w:rPr>
            </w:pPr>
            <w:r>
              <w:rPr>
                <w:rFonts w:hint="eastAsia" w:hAnsi="仿宋" w:cs="仿宋"/>
                <w:kern w:val="0"/>
                <w:sz w:val="24"/>
                <w:szCs w:val="24"/>
              </w:rPr>
              <w:t>-</w:t>
            </w:r>
          </w:p>
        </w:tc>
        <w:tc>
          <w:tcPr>
            <w:tcW w:w="5668" w:type="dxa"/>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hAnsi="仿宋" w:cs="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2499" w:type="dxa"/>
            <w:tcBorders>
              <w:top w:val="single" w:color="000000" w:sz="4" w:space="0"/>
              <w:left w:val="single" w:color="000000" w:sz="4" w:space="0"/>
              <w:bottom w:val="single" w:color="000000" w:sz="4" w:space="0"/>
              <w:right w:val="single" w:color="000000" w:sz="4" w:space="0"/>
            </w:tcBorders>
            <w:vAlign w:val="center"/>
          </w:tcPr>
          <w:p>
            <w:pPr>
              <w:tabs>
                <w:tab w:val="left" w:pos="0"/>
              </w:tabs>
              <w:jc w:val="center"/>
              <w:rPr>
                <w:rFonts w:hAnsi="仿宋" w:cs="仿宋"/>
                <w:kern w:val="0"/>
                <w:sz w:val="24"/>
                <w:szCs w:val="24"/>
              </w:rPr>
            </w:pPr>
            <w:r>
              <w:rPr>
                <w:rFonts w:hint="eastAsia" w:hAnsi="仿宋" w:cs="仿宋"/>
                <w:kern w:val="0"/>
                <w:sz w:val="24"/>
                <w:szCs w:val="24"/>
              </w:rPr>
              <w:t>0</w:t>
            </w:r>
          </w:p>
        </w:tc>
        <w:tc>
          <w:tcPr>
            <w:tcW w:w="3103" w:type="dxa"/>
            <w:tcBorders>
              <w:top w:val="single" w:color="000000" w:sz="4" w:space="0"/>
              <w:left w:val="single" w:color="000000" w:sz="4" w:space="0"/>
              <w:bottom w:val="single" w:color="000000" w:sz="4" w:space="0"/>
              <w:right w:val="single" w:color="000000" w:sz="4" w:space="0"/>
            </w:tcBorders>
            <w:vAlign w:val="center"/>
          </w:tcPr>
          <w:p>
            <w:pPr>
              <w:tabs>
                <w:tab w:val="left" w:pos="0"/>
              </w:tabs>
              <w:jc w:val="center"/>
              <w:rPr>
                <w:rFonts w:hAnsi="仿宋" w:cs="仿宋"/>
                <w:kern w:val="0"/>
                <w:sz w:val="24"/>
                <w:szCs w:val="24"/>
              </w:rPr>
            </w:pPr>
            <w:r>
              <w:rPr>
                <w:rFonts w:hint="eastAsia" w:hAnsi="仿宋" w:cs="仿宋"/>
                <w:kern w:val="0"/>
                <w:sz w:val="24"/>
                <w:szCs w:val="24"/>
              </w:rPr>
              <w:t>＜7</w:t>
            </w:r>
          </w:p>
        </w:tc>
        <w:tc>
          <w:tcPr>
            <w:tcW w:w="2451" w:type="dxa"/>
            <w:tcBorders>
              <w:top w:val="single" w:color="000000" w:sz="4" w:space="0"/>
              <w:left w:val="single" w:color="000000" w:sz="4" w:space="0"/>
              <w:bottom w:val="single" w:color="000000" w:sz="4" w:space="0"/>
              <w:right w:val="single" w:color="auto" w:sz="4" w:space="0"/>
            </w:tcBorders>
            <w:vAlign w:val="center"/>
          </w:tcPr>
          <w:p>
            <w:pPr>
              <w:tabs>
                <w:tab w:val="left" w:pos="0"/>
              </w:tabs>
              <w:jc w:val="center"/>
              <w:rPr>
                <w:rFonts w:hAnsi="仿宋" w:cs="仿宋"/>
                <w:kern w:val="0"/>
                <w:sz w:val="24"/>
                <w:szCs w:val="24"/>
              </w:rPr>
            </w:pPr>
            <w:r>
              <w:rPr>
                <w:rFonts w:hint="eastAsia" w:hAnsi="仿宋" w:cs="仿宋"/>
                <w:kern w:val="0"/>
                <w:sz w:val="24"/>
                <w:szCs w:val="24"/>
              </w:rPr>
              <w:t>≥12</w:t>
            </w:r>
          </w:p>
        </w:tc>
        <w:tc>
          <w:tcPr>
            <w:tcW w:w="5668" w:type="dxa"/>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hAnsi="仿宋" w:cs="仿宋"/>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2499" w:type="dxa"/>
            <w:tcBorders>
              <w:top w:val="single" w:color="000000" w:sz="4" w:space="0"/>
              <w:left w:val="single" w:color="000000" w:sz="4" w:space="0"/>
              <w:bottom w:val="single" w:color="000000" w:sz="4" w:space="0"/>
              <w:right w:val="single" w:color="000000" w:sz="4" w:space="0"/>
            </w:tcBorders>
            <w:vAlign w:val="center"/>
          </w:tcPr>
          <w:p>
            <w:pPr>
              <w:tabs>
                <w:tab w:val="left" w:pos="0"/>
              </w:tabs>
              <w:jc w:val="center"/>
              <w:rPr>
                <w:rFonts w:hAnsi="仿宋" w:cs="仿宋"/>
                <w:kern w:val="0"/>
                <w:sz w:val="24"/>
                <w:szCs w:val="24"/>
              </w:rPr>
            </w:pPr>
            <w:r>
              <w:rPr>
                <w:rFonts w:hint="eastAsia" w:hAnsi="仿宋" w:cs="仿宋"/>
                <w:kern w:val="0"/>
                <w:sz w:val="24"/>
                <w:szCs w:val="24"/>
              </w:rPr>
              <w:t>0</w:t>
            </w:r>
          </w:p>
        </w:tc>
        <w:tc>
          <w:tcPr>
            <w:tcW w:w="3103" w:type="dxa"/>
            <w:tcBorders>
              <w:top w:val="single" w:color="000000" w:sz="4" w:space="0"/>
              <w:left w:val="single" w:color="000000" w:sz="4" w:space="0"/>
              <w:bottom w:val="single" w:color="000000" w:sz="4" w:space="0"/>
              <w:right w:val="single" w:color="000000" w:sz="4" w:space="0"/>
            </w:tcBorders>
            <w:vAlign w:val="center"/>
          </w:tcPr>
          <w:p>
            <w:pPr>
              <w:tabs>
                <w:tab w:val="left" w:pos="0"/>
              </w:tabs>
              <w:jc w:val="center"/>
              <w:rPr>
                <w:rFonts w:hAnsi="仿宋" w:cs="仿宋"/>
                <w:kern w:val="0"/>
                <w:sz w:val="24"/>
                <w:szCs w:val="24"/>
              </w:rPr>
            </w:pPr>
            <w:r>
              <w:rPr>
                <w:rFonts w:hint="eastAsia" w:hAnsi="仿宋" w:cs="仿宋"/>
                <w:kern w:val="0"/>
                <w:sz w:val="24"/>
                <w:szCs w:val="24"/>
              </w:rPr>
              <w:t>0</w:t>
            </w:r>
          </w:p>
        </w:tc>
        <w:tc>
          <w:tcPr>
            <w:tcW w:w="2451" w:type="dxa"/>
            <w:tcBorders>
              <w:top w:val="single" w:color="000000" w:sz="4" w:space="0"/>
              <w:left w:val="single" w:color="000000" w:sz="4" w:space="0"/>
              <w:bottom w:val="single" w:color="000000" w:sz="4" w:space="0"/>
              <w:right w:val="single" w:color="auto" w:sz="4" w:space="0"/>
            </w:tcBorders>
            <w:vAlign w:val="center"/>
          </w:tcPr>
          <w:p>
            <w:pPr>
              <w:tabs>
                <w:tab w:val="left" w:pos="0"/>
              </w:tabs>
              <w:jc w:val="center"/>
              <w:rPr>
                <w:rFonts w:hAnsi="仿宋" w:cs="仿宋"/>
                <w:kern w:val="0"/>
                <w:sz w:val="24"/>
                <w:szCs w:val="24"/>
              </w:rPr>
            </w:pPr>
            <w:r>
              <w:rPr>
                <w:rFonts w:hint="eastAsia" w:hAnsi="仿宋" w:cs="仿宋"/>
                <w:kern w:val="0"/>
                <w:sz w:val="24"/>
                <w:szCs w:val="24"/>
              </w:rPr>
              <w:t>≥17</w:t>
            </w:r>
          </w:p>
        </w:tc>
        <w:tc>
          <w:tcPr>
            <w:tcW w:w="5668" w:type="dxa"/>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hAnsi="仿宋" w:cs="仿宋"/>
                <w:kern w:val="0"/>
                <w:sz w:val="24"/>
                <w:szCs w:val="24"/>
              </w:rPr>
            </w:pPr>
          </w:p>
        </w:tc>
      </w:tr>
    </w:tbl>
    <w:p>
      <w:pPr>
        <w:adjustRightInd w:val="0"/>
        <w:spacing w:line="560" w:lineRule="exact"/>
        <w:jc w:val="center"/>
        <w:rPr>
          <w:rFonts w:ascii="方正小标宋_GBK" w:eastAsia="方正小标宋_GBK"/>
          <w:sz w:val="44"/>
          <w:szCs w:val="44"/>
        </w:rPr>
      </w:pPr>
      <w:bookmarkStart w:id="1" w:name="RANGE!A1:E161"/>
      <w:r>
        <w:rPr>
          <w:rFonts w:hint="eastAsia" w:ascii="方正小标宋_GBK" w:eastAsia="方正小标宋_GBK"/>
          <w:sz w:val="44"/>
          <w:szCs w:val="44"/>
        </w:rPr>
        <w:t>医用氧批发企业检查要点（试行）</w:t>
      </w:r>
      <w:bookmarkEnd w:id="1"/>
    </w:p>
    <w:tbl>
      <w:tblPr>
        <w:tblStyle w:val="16"/>
        <w:tblW w:w="1404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500"/>
        <w:gridCol w:w="9176"/>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821" w:type="dxa"/>
            <w:vMerge w:val="restart"/>
            <w:shd w:val="clear" w:color="auto" w:fill="auto"/>
            <w:vAlign w:val="center"/>
          </w:tcPr>
          <w:p>
            <w:pPr>
              <w:widowControl/>
              <w:adjustRightInd w:val="0"/>
              <w:snapToGrid w:val="0"/>
              <w:jc w:val="center"/>
              <w:rPr>
                <w:rFonts w:ascii="黑体" w:hAnsi="黑体" w:eastAsia="黑体" w:cs="宋体"/>
                <w:bCs/>
                <w:kern w:val="0"/>
                <w:sz w:val="24"/>
                <w:szCs w:val="24"/>
              </w:rPr>
            </w:pPr>
            <w:r>
              <w:rPr>
                <w:rFonts w:hint="eastAsia" w:ascii="黑体" w:hAnsi="黑体" w:eastAsia="黑体" w:cs="宋体"/>
                <w:bCs/>
                <w:kern w:val="0"/>
                <w:sz w:val="24"/>
                <w:szCs w:val="24"/>
              </w:rPr>
              <w:t>序号</w:t>
            </w:r>
          </w:p>
        </w:tc>
        <w:tc>
          <w:tcPr>
            <w:tcW w:w="1500" w:type="dxa"/>
            <w:vMerge w:val="restart"/>
            <w:shd w:val="clear" w:color="auto" w:fill="auto"/>
            <w:vAlign w:val="center"/>
          </w:tcPr>
          <w:p>
            <w:pPr>
              <w:widowControl/>
              <w:adjustRightInd w:val="0"/>
              <w:snapToGrid w:val="0"/>
              <w:jc w:val="center"/>
              <w:rPr>
                <w:rFonts w:ascii="黑体" w:hAnsi="黑体" w:eastAsia="黑体" w:cs="宋体"/>
                <w:bCs/>
                <w:kern w:val="0"/>
                <w:sz w:val="24"/>
                <w:szCs w:val="24"/>
              </w:rPr>
            </w:pPr>
            <w:r>
              <w:rPr>
                <w:rFonts w:hint="eastAsia" w:ascii="黑体" w:hAnsi="黑体" w:eastAsia="黑体" w:cs="宋体"/>
                <w:bCs/>
                <w:kern w:val="0"/>
                <w:sz w:val="24"/>
                <w:szCs w:val="24"/>
              </w:rPr>
              <w:t>条款号</w:t>
            </w:r>
          </w:p>
        </w:tc>
        <w:tc>
          <w:tcPr>
            <w:tcW w:w="9176" w:type="dxa"/>
            <w:vMerge w:val="restart"/>
            <w:shd w:val="clear" w:color="auto" w:fill="auto"/>
            <w:vAlign w:val="center"/>
          </w:tcPr>
          <w:p>
            <w:pPr>
              <w:widowControl/>
              <w:adjustRightInd w:val="0"/>
              <w:snapToGrid w:val="0"/>
              <w:jc w:val="center"/>
              <w:rPr>
                <w:rFonts w:ascii="黑体" w:hAnsi="黑体" w:eastAsia="黑体" w:cs="宋体"/>
                <w:bCs/>
                <w:kern w:val="0"/>
                <w:sz w:val="24"/>
                <w:szCs w:val="24"/>
              </w:rPr>
            </w:pPr>
            <w:r>
              <w:rPr>
                <w:rFonts w:hint="eastAsia" w:ascii="黑体" w:hAnsi="黑体" w:eastAsia="黑体" w:cs="宋体"/>
                <w:bCs/>
                <w:kern w:val="0"/>
                <w:sz w:val="24"/>
                <w:szCs w:val="24"/>
              </w:rPr>
              <w:t>检查内容</w:t>
            </w:r>
          </w:p>
        </w:tc>
        <w:tc>
          <w:tcPr>
            <w:tcW w:w="1276" w:type="dxa"/>
            <w:shd w:val="clear" w:color="auto" w:fill="auto"/>
            <w:vAlign w:val="center"/>
          </w:tcPr>
          <w:p>
            <w:pPr>
              <w:widowControl/>
              <w:adjustRightInd w:val="0"/>
              <w:snapToGrid w:val="0"/>
              <w:jc w:val="center"/>
              <w:rPr>
                <w:rFonts w:ascii="黑体" w:hAnsi="黑体" w:eastAsia="黑体" w:cs="宋体"/>
                <w:bCs/>
                <w:kern w:val="0"/>
                <w:sz w:val="24"/>
                <w:szCs w:val="24"/>
              </w:rPr>
            </w:pPr>
            <w:r>
              <w:rPr>
                <w:rFonts w:hint="eastAsia" w:ascii="黑体" w:hAnsi="黑体" w:eastAsia="黑体" w:cs="宋体"/>
                <w:bCs/>
                <w:kern w:val="0"/>
                <w:sz w:val="24"/>
                <w:szCs w:val="24"/>
              </w:rPr>
              <w:t>是否符合</w:t>
            </w:r>
          </w:p>
        </w:tc>
        <w:tc>
          <w:tcPr>
            <w:tcW w:w="1276" w:type="dxa"/>
            <w:shd w:val="clear" w:color="auto" w:fill="auto"/>
            <w:vAlign w:val="center"/>
          </w:tcPr>
          <w:p>
            <w:pPr>
              <w:widowControl/>
              <w:adjustRightInd w:val="0"/>
              <w:snapToGrid w:val="0"/>
              <w:jc w:val="center"/>
              <w:rPr>
                <w:rFonts w:ascii="黑体" w:hAnsi="黑体" w:eastAsia="黑体" w:cs="宋体"/>
                <w:bCs/>
                <w:kern w:val="0"/>
                <w:sz w:val="24"/>
                <w:szCs w:val="24"/>
              </w:rPr>
            </w:pPr>
            <w:r>
              <w:rPr>
                <w:rFonts w:hint="eastAsia" w:ascii="黑体" w:hAnsi="黑体" w:eastAsia="黑体" w:cs="宋体"/>
                <w:bCs/>
                <w:kern w:val="0"/>
                <w:sz w:val="24"/>
                <w:szCs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821" w:type="dxa"/>
            <w:vMerge w:val="continue"/>
            <w:vAlign w:val="center"/>
          </w:tcPr>
          <w:p>
            <w:pPr>
              <w:widowControl/>
              <w:adjustRightInd w:val="0"/>
              <w:snapToGrid w:val="0"/>
              <w:jc w:val="center"/>
              <w:rPr>
                <w:rFonts w:ascii="黑体" w:hAnsi="黑体" w:eastAsia="黑体" w:cs="宋体"/>
                <w:bCs/>
                <w:kern w:val="0"/>
                <w:sz w:val="24"/>
                <w:szCs w:val="24"/>
              </w:rPr>
            </w:pPr>
          </w:p>
        </w:tc>
        <w:tc>
          <w:tcPr>
            <w:tcW w:w="1500" w:type="dxa"/>
            <w:vMerge w:val="continue"/>
            <w:vAlign w:val="center"/>
          </w:tcPr>
          <w:p>
            <w:pPr>
              <w:widowControl/>
              <w:adjustRightInd w:val="0"/>
              <w:snapToGrid w:val="0"/>
              <w:jc w:val="center"/>
              <w:rPr>
                <w:rFonts w:ascii="黑体" w:hAnsi="黑体" w:eastAsia="黑体" w:cs="宋体"/>
                <w:bCs/>
                <w:kern w:val="0"/>
                <w:sz w:val="24"/>
                <w:szCs w:val="24"/>
              </w:rPr>
            </w:pPr>
          </w:p>
        </w:tc>
        <w:tc>
          <w:tcPr>
            <w:tcW w:w="9176" w:type="dxa"/>
            <w:vMerge w:val="continue"/>
            <w:vAlign w:val="center"/>
          </w:tcPr>
          <w:p>
            <w:pPr>
              <w:widowControl/>
              <w:adjustRightInd w:val="0"/>
              <w:snapToGrid w:val="0"/>
              <w:jc w:val="left"/>
              <w:rPr>
                <w:rFonts w:ascii="黑体" w:hAnsi="黑体" w:eastAsia="黑体" w:cs="宋体"/>
                <w:bCs/>
                <w:kern w:val="0"/>
                <w:sz w:val="24"/>
                <w:szCs w:val="24"/>
              </w:rPr>
            </w:pPr>
          </w:p>
        </w:tc>
        <w:tc>
          <w:tcPr>
            <w:tcW w:w="1276" w:type="dxa"/>
            <w:shd w:val="clear" w:color="auto" w:fill="auto"/>
            <w:vAlign w:val="center"/>
          </w:tcPr>
          <w:p>
            <w:pPr>
              <w:widowControl/>
              <w:adjustRightInd w:val="0"/>
              <w:snapToGrid w:val="0"/>
              <w:jc w:val="center"/>
              <w:rPr>
                <w:rFonts w:ascii="黑体" w:hAnsi="黑体" w:eastAsia="黑体" w:cs="宋体"/>
                <w:bCs/>
                <w:kern w:val="0"/>
                <w:sz w:val="24"/>
                <w:szCs w:val="24"/>
              </w:rPr>
            </w:pPr>
            <w:r>
              <w:rPr>
                <w:rFonts w:hint="eastAsia" w:ascii="黑体" w:hAnsi="黑体" w:eastAsia="黑体" w:cs="宋体"/>
                <w:bCs/>
                <w:kern w:val="0"/>
                <w:sz w:val="24"/>
                <w:szCs w:val="24"/>
              </w:rPr>
              <w:t>要求</w:t>
            </w:r>
          </w:p>
        </w:tc>
        <w:tc>
          <w:tcPr>
            <w:tcW w:w="1276" w:type="dxa"/>
            <w:shd w:val="clear" w:color="auto" w:fill="auto"/>
            <w:vAlign w:val="center"/>
          </w:tcPr>
          <w:p>
            <w:pPr>
              <w:widowControl/>
              <w:adjustRightInd w:val="0"/>
              <w:snapToGrid w:val="0"/>
              <w:jc w:val="center"/>
              <w:rPr>
                <w:rFonts w:ascii="黑体" w:hAnsi="黑体" w:eastAsia="黑体" w:cs="宋体"/>
                <w:bCs/>
                <w:kern w:val="0"/>
                <w:sz w:val="24"/>
                <w:szCs w:val="24"/>
              </w:rPr>
            </w:pPr>
            <w:r>
              <w:rPr>
                <w:rFonts w:hint="eastAsia" w:ascii="黑体" w:hAnsi="黑体" w:eastAsia="黑体" w:cs="宋体"/>
                <w:bCs/>
                <w:kern w:val="0"/>
                <w:sz w:val="24"/>
                <w:szCs w:val="24"/>
              </w:rPr>
              <w:t>情况描述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**1</w:t>
            </w:r>
          </w:p>
        </w:tc>
        <w:tc>
          <w:tcPr>
            <w:tcW w:w="1500" w:type="dxa"/>
            <w:vMerge w:val="restart"/>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总则</w:t>
            </w: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企业应当在医用氧采购、储存、销售、运输等环节采取有效的质量控制措施，确保医用氧质量，并按照有关要求建立医用氧追溯系统，将医用氧追溯体系贯穿于整个经营过程，实现医用氧可追溯。</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**2</w:t>
            </w:r>
          </w:p>
        </w:tc>
        <w:tc>
          <w:tcPr>
            <w:tcW w:w="1500" w:type="dxa"/>
            <w:vMerge w:val="continue"/>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医用氧批发企业应当依法经营。本检查要点所指的医用氧，是指取得药品批准文号的，应按照药品管理的氧,包含气态氧和液态氧。</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**3</w:t>
            </w:r>
          </w:p>
        </w:tc>
        <w:tc>
          <w:tcPr>
            <w:tcW w:w="1500" w:type="dxa"/>
            <w:vMerge w:val="continue"/>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医用氧的储存、运输和销售应符合国家有关部门的规定，并取得相关证件。</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**4</w:t>
            </w:r>
          </w:p>
        </w:tc>
        <w:tc>
          <w:tcPr>
            <w:tcW w:w="1500" w:type="dxa"/>
            <w:vMerge w:val="continue"/>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医用氧经营企业，不得擅自改变医用氧注册包装规格或分装医用氧。</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**5</w:t>
            </w:r>
          </w:p>
        </w:tc>
        <w:tc>
          <w:tcPr>
            <w:tcW w:w="1500" w:type="dxa"/>
            <w:vMerge w:val="continue"/>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医用氧批发企业应当坚持诚实守信，禁止任何虚假、欺骗行为。</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6</w:t>
            </w:r>
          </w:p>
        </w:tc>
        <w:tc>
          <w:tcPr>
            <w:tcW w:w="1500" w:type="dxa"/>
            <w:vMerge w:val="restart"/>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质量管理  体系</w:t>
            </w:r>
          </w:p>
        </w:tc>
        <w:tc>
          <w:tcPr>
            <w:tcW w:w="9176" w:type="dxa"/>
            <w:shd w:val="clear" w:color="auto" w:fill="auto"/>
            <w:vAlign w:val="center"/>
          </w:tcPr>
          <w:p>
            <w:pPr>
              <w:widowControl/>
              <w:adjustRightInd w:val="0"/>
              <w:snapToGrid w:val="0"/>
              <w:jc w:val="left"/>
              <w:rPr>
                <w:rFonts w:hAnsi="仿宋" w:cs="宋体"/>
                <w:kern w:val="0"/>
                <w:sz w:val="24"/>
                <w:szCs w:val="24"/>
              </w:rPr>
            </w:pPr>
            <w:r>
              <w:rPr>
                <w:rFonts w:hint="eastAsia" w:hAnsi="仿宋" w:cs="宋体"/>
                <w:kern w:val="0"/>
                <w:sz w:val="24"/>
                <w:szCs w:val="24"/>
              </w:rPr>
              <w:t>企业应当确定质量方针。</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7</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企业应当制定质量管理体系文件，开展质量策划、质量控制、质量保证、质量改进和质量风险管理等活动。</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*8</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企业制定的质量方针文件应当明确企业总的质量目标和要求，并贯彻到医用氧经营活动的全过程。</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*9</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企业质量管理体系应当与其经营范围和规模相适应,包括组织机构、人员、设施设备、质量管理体系文件及相应的计算机系统等。</w:t>
            </w:r>
            <w:r>
              <w:rPr>
                <w:rFonts w:hint="eastAsia" w:ascii="宋体" w:hAnsi="宋体" w:eastAsia="宋体" w:cs="宋体"/>
                <w:kern w:val="0"/>
                <w:sz w:val="24"/>
                <w:szCs w:val="24"/>
              </w:rPr>
              <w:t> </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CellMar>
            <w:top w:w="0" w:type="dxa"/>
            <w:left w:w="108" w:type="dxa"/>
            <w:bottom w:w="0" w:type="dxa"/>
            <w:right w:w="108" w:type="dxa"/>
          </w:tblCellMar>
        </w:tblPrEx>
        <w:trPr>
          <w:trHeight w:val="51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*10</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企业应当定期开展质量管理体系内审。</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*11</w:t>
            </w:r>
          </w:p>
        </w:tc>
        <w:tc>
          <w:tcPr>
            <w:tcW w:w="1500" w:type="dxa"/>
            <w:vMerge w:val="restart"/>
            <w:shd w:val="clear" w:color="auto" w:fill="auto"/>
            <w:vAlign w:val="center"/>
          </w:tcPr>
          <w:p>
            <w:pPr>
              <w:adjustRightInd w:val="0"/>
              <w:snapToGrid w:val="0"/>
              <w:jc w:val="center"/>
              <w:rPr>
                <w:rFonts w:hAnsi="仿宋" w:cs="宋体"/>
                <w:b/>
                <w:bCs/>
                <w:kern w:val="0"/>
                <w:sz w:val="24"/>
                <w:szCs w:val="24"/>
              </w:rPr>
            </w:pPr>
            <w:r>
              <w:rPr>
                <w:rFonts w:hint="eastAsia" w:hAnsi="仿宋" w:cs="宋体"/>
                <w:b/>
                <w:bCs/>
                <w:kern w:val="0"/>
                <w:sz w:val="24"/>
                <w:szCs w:val="24"/>
              </w:rPr>
              <w:t>质量管理  体系</w:t>
            </w: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企业应当在质量管理体系关键要素发生重大变化时，组织开展内审。</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*12</w:t>
            </w:r>
          </w:p>
        </w:tc>
        <w:tc>
          <w:tcPr>
            <w:tcW w:w="1500" w:type="dxa"/>
            <w:vMerge w:val="continue"/>
            <w:shd w:val="clear" w:color="auto" w:fill="auto"/>
            <w:vAlign w:val="center"/>
          </w:tcPr>
          <w:p>
            <w:pPr>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企业应当对内审的情况进行分析，依据分析结论制定相应的质量管理体系改进措施，不断提高质量控制水平，保证质量管理体系持续有效运行。</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CellMar>
            <w:top w:w="0" w:type="dxa"/>
            <w:left w:w="108" w:type="dxa"/>
            <w:bottom w:w="0" w:type="dxa"/>
            <w:right w:w="108" w:type="dxa"/>
          </w:tblCellMar>
        </w:tblPrEx>
        <w:trPr>
          <w:trHeight w:val="51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13</w:t>
            </w:r>
          </w:p>
        </w:tc>
        <w:tc>
          <w:tcPr>
            <w:tcW w:w="1500" w:type="dxa"/>
            <w:vMerge w:val="continue"/>
            <w:shd w:val="clear" w:color="auto" w:fill="auto"/>
            <w:vAlign w:val="center"/>
          </w:tcPr>
          <w:p>
            <w:pPr>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企业应当采用前瞻或者回顾的方式，对医用氧流通过程中的质量风险进行评估、控制、沟通和审核。</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14</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企业应当对医用氧供货单位、购货单位的质量管理体系进行评价，确认其质量保证能力和质量信誉，必要时进行实地考察。</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*15</w:t>
            </w:r>
          </w:p>
        </w:tc>
        <w:tc>
          <w:tcPr>
            <w:tcW w:w="1500" w:type="dxa"/>
            <w:vMerge w:val="continue"/>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企业应当全员参与质量管理，各部门、岗位人员应当正确理解并履行职责，承担相应的质量责任。</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*16</w:t>
            </w:r>
          </w:p>
        </w:tc>
        <w:tc>
          <w:tcPr>
            <w:tcW w:w="1500" w:type="dxa"/>
            <w:vMerge w:val="restart"/>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机构和质量管理职责</w:t>
            </w: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企业应当设立与其经营活动和质量管理相适应的组织机构或者岗位。</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*17</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企业应当明确规定各组织机构或者岗位的职责、权限及相互关系。</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*18</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企业法定代表人和企业负责人是医用氧质量的主要责任人，全面负责企业日常管理，负责提供必要的条件，保证质量管理部门和质量管理人员有效履行职责，确保企业实现质量目标。</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*19</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企业质量负责人应当由企业高层管理人员担任，全面负责医用氧质量管理工作，独立履行职责，在企业内部对医用氧质量管理具有裁决权。</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*20</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企业应当设立质量管理部门，有效开展质量管理工作。</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CellMar>
            <w:top w:w="0" w:type="dxa"/>
            <w:left w:w="108" w:type="dxa"/>
            <w:bottom w:w="0" w:type="dxa"/>
            <w:right w:w="108" w:type="dxa"/>
          </w:tblCellMar>
        </w:tblPrEx>
        <w:trPr>
          <w:trHeight w:val="51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*21</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企业质量管理部门的职责不得由其他部门及人员履行。</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22</w:t>
            </w:r>
          </w:p>
        </w:tc>
        <w:tc>
          <w:tcPr>
            <w:tcW w:w="1500" w:type="dxa"/>
            <w:vMerge w:val="restart"/>
            <w:shd w:val="clear" w:color="auto" w:fill="auto"/>
            <w:vAlign w:val="center"/>
          </w:tcPr>
          <w:p>
            <w:pPr>
              <w:adjustRightInd w:val="0"/>
              <w:snapToGrid w:val="0"/>
              <w:jc w:val="center"/>
              <w:rPr>
                <w:rFonts w:hAnsi="仿宋" w:cs="宋体"/>
                <w:b/>
                <w:bCs/>
                <w:kern w:val="0"/>
                <w:sz w:val="24"/>
                <w:szCs w:val="24"/>
              </w:rPr>
            </w:pPr>
            <w:r>
              <w:rPr>
                <w:rFonts w:hint="eastAsia" w:hAnsi="仿宋" w:cs="宋体"/>
                <w:b/>
                <w:bCs/>
                <w:kern w:val="0"/>
                <w:sz w:val="24"/>
                <w:szCs w:val="24"/>
              </w:rPr>
              <w:t>机构和质量管理职责</w:t>
            </w: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质量管理部门应当督促相关部门和岗位人员执行《药品管理法》等法律法规。</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23</w:t>
            </w:r>
          </w:p>
        </w:tc>
        <w:tc>
          <w:tcPr>
            <w:tcW w:w="1500" w:type="dxa"/>
            <w:vMerge w:val="continue"/>
            <w:shd w:val="clear" w:color="auto" w:fill="auto"/>
            <w:vAlign w:val="center"/>
          </w:tcPr>
          <w:p>
            <w:pPr>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质量管理部门应当组织制订质量管理体系文件，并指导、监督文件的执行。</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*24</w:t>
            </w:r>
          </w:p>
        </w:tc>
        <w:tc>
          <w:tcPr>
            <w:tcW w:w="1500" w:type="dxa"/>
            <w:vMerge w:val="continue"/>
            <w:shd w:val="clear" w:color="auto" w:fill="auto"/>
            <w:vAlign w:val="center"/>
          </w:tcPr>
          <w:p>
            <w:pPr>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质量管理部门应当负责对供货单位和购货单位的合法性、购进医用氧的合法性以及供货单位销售人员、购货单位采购人员的合法资格进行审核，并根据审核内容的变化进行动态管理。</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*25</w:t>
            </w:r>
          </w:p>
        </w:tc>
        <w:tc>
          <w:tcPr>
            <w:tcW w:w="1500" w:type="dxa"/>
            <w:vMerge w:val="continue"/>
            <w:shd w:val="clear" w:color="auto" w:fill="auto"/>
            <w:vAlign w:val="center"/>
          </w:tcPr>
          <w:p>
            <w:pPr>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质量管理部门应当负责医用氧的验收，指导并监督医用氧采购、储存、养护、销售、退货、运输等环节的质量管理工作。</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*26</w:t>
            </w:r>
          </w:p>
        </w:tc>
        <w:tc>
          <w:tcPr>
            <w:tcW w:w="1500" w:type="dxa"/>
            <w:vMerge w:val="continue"/>
            <w:shd w:val="clear" w:color="auto" w:fill="auto"/>
            <w:vAlign w:val="center"/>
          </w:tcPr>
          <w:p>
            <w:pPr>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质量管理部门应当负责不合格医用氧的确认，对不合格医用氧的处理过程实施监督。</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27</w:t>
            </w:r>
          </w:p>
        </w:tc>
        <w:tc>
          <w:tcPr>
            <w:tcW w:w="1500" w:type="dxa"/>
            <w:vMerge w:val="continue"/>
            <w:shd w:val="clear" w:color="auto" w:fill="auto"/>
            <w:vAlign w:val="center"/>
          </w:tcPr>
          <w:p>
            <w:pPr>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质量管理部门应当负责医用氧质量投诉和质量事故的调查、处理及报告。</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CellMar>
            <w:top w:w="0" w:type="dxa"/>
            <w:left w:w="108" w:type="dxa"/>
            <w:bottom w:w="0" w:type="dxa"/>
            <w:right w:w="108" w:type="dxa"/>
          </w:tblCellMar>
        </w:tblPrEx>
        <w:trPr>
          <w:trHeight w:val="539"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28</w:t>
            </w:r>
          </w:p>
        </w:tc>
        <w:tc>
          <w:tcPr>
            <w:tcW w:w="1500" w:type="dxa"/>
            <w:vMerge w:val="continue"/>
            <w:shd w:val="clear" w:color="auto" w:fill="auto"/>
            <w:vAlign w:val="center"/>
          </w:tcPr>
          <w:p>
            <w:pPr>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质量管理部门应当负责假劣医用氧的报告。</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29</w:t>
            </w:r>
          </w:p>
        </w:tc>
        <w:tc>
          <w:tcPr>
            <w:tcW w:w="1500" w:type="dxa"/>
            <w:vMerge w:val="continue"/>
            <w:shd w:val="clear" w:color="auto" w:fill="auto"/>
            <w:vAlign w:val="center"/>
          </w:tcPr>
          <w:p>
            <w:pPr>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质量管理部门应当负责医用氧质量查询。</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*30</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质量管理部门应当组织验证、校准或检定相关设施设备。</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31</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质量管理部门应当负责医用氧召回的管理。</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32</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质量管理部门应当负责医用氧不良反应的报告。</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*33</w:t>
            </w:r>
          </w:p>
        </w:tc>
        <w:tc>
          <w:tcPr>
            <w:tcW w:w="1500" w:type="dxa"/>
            <w:vMerge w:val="restart"/>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机构和质量管理职责</w:t>
            </w: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质量管理部门应当组织质量管理体系的内审和风险评估。</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34</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质量管理部门应当组织对医用氧供货单位及购货单位质量管理体系和服务质量考察和评价。</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35</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质量管理部门应当协助开展质量管理教育和培训。</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36</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质量管理部门应当承担其他应当由质量管理部门履行的职责。</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CellMar>
            <w:top w:w="0" w:type="dxa"/>
            <w:left w:w="108" w:type="dxa"/>
            <w:bottom w:w="0" w:type="dxa"/>
            <w:right w:w="108" w:type="dxa"/>
          </w:tblCellMar>
        </w:tblPrEx>
        <w:trPr>
          <w:trHeight w:val="68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37</w:t>
            </w:r>
          </w:p>
        </w:tc>
        <w:tc>
          <w:tcPr>
            <w:tcW w:w="1500" w:type="dxa"/>
            <w:vMerge w:val="restart"/>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人员与培训</w:t>
            </w: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企业从事医用氧经营和质量管理工作的人员，应当符合有关法律法规规定的资格要求，不得有相关法律法规禁止从业的情形。</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*38</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企业负责人应具有大专（含）以上学历，熟悉国家有关医用氧管理的法律、法规、规章和经营医用氧的知识。</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*39</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质量管理负责人应具有相关专业（如化工、药学、化学、机械和工业工程等）大专（含）以上学历，或具备中级及以上专业技术职称，具有三年以上（含三年）医用氧生产或经营质量管理工作经验，熟悉药品和安全管理相关法律法规。</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*40</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企业从事质量管理工作的，应当具有药学中专或者医学、生物、化学、化工、机械和工业工程等相关专业大学专科以上学历或者具有药学初级以上专业技术职称。</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*41</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从事验收工作的，应当具有药学或者医学、生物、化学、化工、机械和工业工程等相关专业中专以上学历或者具有药学初级以上专业技术职称。</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42</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从事养护工作的，应当具有药学或者医学、生物、化学、化工、机械和工业工程等相关专业中专以上学历或者具有药学初级以上专业技术职称。</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43</w:t>
            </w:r>
          </w:p>
        </w:tc>
        <w:tc>
          <w:tcPr>
            <w:tcW w:w="1500" w:type="dxa"/>
            <w:vMerge w:val="restart"/>
            <w:shd w:val="clear" w:color="auto" w:fill="auto"/>
            <w:vAlign w:val="center"/>
          </w:tcPr>
          <w:p>
            <w:pPr>
              <w:adjustRightInd w:val="0"/>
              <w:snapToGrid w:val="0"/>
              <w:jc w:val="center"/>
              <w:rPr>
                <w:rFonts w:hAnsi="仿宋" w:cs="宋体"/>
                <w:b/>
                <w:bCs/>
                <w:kern w:val="0"/>
                <w:sz w:val="24"/>
                <w:szCs w:val="24"/>
              </w:rPr>
            </w:pPr>
            <w:r>
              <w:rPr>
                <w:rFonts w:hint="eastAsia" w:hAnsi="仿宋" w:cs="宋体"/>
                <w:b/>
                <w:bCs/>
                <w:kern w:val="0"/>
                <w:sz w:val="24"/>
                <w:szCs w:val="24"/>
              </w:rPr>
              <w:t>人员与培训</w:t>
            </w: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企业从事医用氧保管、押运、销售等工作人员，应具有高中或中专（均含）以上文化程度。</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*44</w:t>
            </w:r>
          </w:p>
        </w:tc>
        <w:tc>
          <w:tcPr>
            <w:tcW w:w="1500" w:type="dxa"/>
            <w:vMerge w:val="continue"/>
            <w:shd w:val="clear" w:color="auto" w:fill="auto"/>
            <w:vAlign w:val="center"/>
          </w:tcPr>
          <w:p>
            <w:pPr>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企业应当对各岗位人员进行与其职责和工作内容相关的岗前培训和继续培训等，以符合《规范》的要求。</w:t>
            </w:r>
          </w:p>
        </w:tc>
        <w:tc>
          <w:tcPr>
            <w:tcW w:w="1276" w:type="dxa"/>
            <w:shd w:val="clear" w:color="auto" w:fill="auto"/>
            <w:noWrap/>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45</w:t>
            </w:r>
          </w:p>
        </w:tc>
        <w:tc>
          <w:tcPr>
            <w:tcW w:w="1500" w:type="dxa"/>
            <w:vMerge w:val="continue"/>
            <w:shd w:val="clear" w:color="auto" w:fill="auto"/>
            <w:vAlign w:val="center"/>
          </w:tcPr>
          <w:p>
            <w:pPr>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培训内容应当包括相关法律法规、专业知识及技能、质量管理制度、职责及岗位操作规程等。</w:t>
            </w:r>
          </w:p>
        </w:tc>
        <w:tc>
          <w:tcPr>
            <w:tcW w:w="1276" w:type="dxa"/>
            <w:shd w:val="clear" w:color="auto" w:fill="auto"/>
            <w:noWrap/>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*46</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企业质量管理人员应经相应的专业知识培训，并建立培训档案。质量管理人员应在职在岗，不得兼职其他工作和业务。</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47</w:t>
            </w:r>
          </w:p>
        </w:tc>
        <w:tc>
          <w:tcPr>
            <w:tcW w:w="1500" w:type="dxa"/>
            <w:vMerge w:val="continue"/>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在质量管理、验收、养护、保管、运输、押运等直接接触医用氧岗位工作的人员，应定期进行健康检查并建立健康档案。患有传染病、精神疾病等可能污染医用氧或导致医用氧发生差错疾病的患者，不得从事直接接触医用氧的工作。</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48</w:t>
            </w:r>
          </w:p>
        </w:tc>
        <w:tc>
          <w:tcPr>
            <w:tcW w:w="1500" w:type="dxa"/>
            <w:vMerge w:val="continue"/>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身体条件不符合相应岗位特定要求的，不得从事相关工作。</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CellMar>
            <w:top w:w="0" w:type="dxa"/>
            <w:left w:w="108" w:type="dxa"/>
            <w:bottom w:w="0" w:type="dxa"/>
            <w:right w:w="108" w:type="dxa"/>
          </w:tblCellMar>
        </w:tblPrEx>
        <w:trPr>
          <w:trHeight w:val="624"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*49</w:t>
            </w:r>
          </w:p>
        </w:tc>
        <w:tc>
          <w:tcPr>
            <w:tcW w:w="1500" w:type="dxa"/>
            <w:vMerge w:val="restart"/>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质量管理  体系文件</w:t>
            </w: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企业制定质量管理体系文件应当完备，并符合企业实际，文件包括质量管理制度、部门及岗位职责、操作规程、档案、报告、记录和凭证等。</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*50</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文件的起草、修订、审核、批准、分发、保管，以及修改、撤销、替换、销毁等应当按照文件管理操作规程进行，并保存相关记录。</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51</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文件应当标明题目、种类、目的以及文件编号和版本号。</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52</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文件文字应当准确、清晰、易懂。</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53</w:t>
            </w:r>
          </w:p>
        </w:tc>
        <w:tc>
          <w:tcPr>
            <w:tcW w:w="1500" w:type="dxa"/>
            <w:vMerge w:val="restart"/>
            <w:shd w:val="clear" w:color="auto" w:fill="auto"/>
            <w:vAlign w:val="center"/>
          </w:tcPr>
          <w:p>
            <w:pPr>
              <w:adjustRightInd w:val="0"/>
              <w:snapToGrid w:val="0"/>
              <w:jc w:val="center"/>
              <w:rPr>
                <w:rFonts w:hAnsi="仿宋" w:cs="宋体"/>
                <w:b/>
                <w:bCs/>
                <w:kern w:val="0"/>
                <w:sz w:val="24"/>
                <w:szCs w:val="24"/>
              </w:rPr>
            </w:pPr>
            <w:r>
              <w:rPr>
                <w:rFonts w:hint="eastAsia" w:hAnsi="仿宋" w:cs="宋体"/>
                <w:b/>
                <w:bCs/>
                <w:kern w:val="0"/>
                <w:sz w:val="24"/>
                <w:szCs w:val="24"/>
              </w:rPr>
              <w:t>质量管理  体系文件</w:t>
            </w: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文件应当分类存放，便于查阅。</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54</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企业应当定期审核、修订文件。</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CellMar>
            <w:top w:w="0" w:type="dxa"/>
            <w:left w:w="108" w:type="dxa"/>
            <w:bottom w:w="0" w:type="dxa"/>
            <w:right w:w="108" w:type="dxa"/>
          </w:tblCellMar>
        </w:tblPrEx>
        <w:trPr>
          <w:trHeight w:val="624"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55</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企业使用的文件应当为现行有效的文本，已废止或者失效的文件除留档备查外，不得在工作现场出现。</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56</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企业应当保证各岗位获得与其工作内容相对应必要文件，并严格按照规定开展工作。</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2"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*57</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企业应制定保证经营医用氧质量的制度及工作程序。内容包括：</w:t>
            </w:r>
            <w:r>
              <w:rPr>
                <w:rFonts w:hint="eastAsia" w:ascii="宋体" w:hAnsi="宋体" w:eastAsia="宋体" w:cs="宋体"/>
                <w:kern w:val="0"/>
                <w:sz w:val="24"/>
                <w:szCs w:val="24"/>
              </w:rPr>
              <w:t> </w:t>
            </w:r>
          </w:p>
          <w:p>
            <w:pPr>
              <w:widowControl/>
              <w:adjustRightInd w:val="0"/>
              <w:snapToGrid w:val="0"/>
              <w:rPr>
                <w:rFonts w:hAnsi="仿宋" w:cs="宋体"/>
                <w:kern w:val="0"/>
                <w:sz w:val="24"/>
                <w:szCs w:val="24"/>
              </w:rPr>
            </w:pPr>
            <w:r>
              <w:rPr>
                <w:rFonts w:hint="eastAsia" w:hAnsi="仿宋" w:cs="宋体"/>
                <w:kern w:val="0"/>
                <w:sz w:val="24"/>
                <w:szCs w:val="24"/>
              </w:rPr>
              <w:t>（1）质量方针和目标管理；</w:t>
            </w:r>
          </w:p>
          <w:p>
            <w:pPr>
              <w:widowControl/>
              <w:adjustRightInd w:val="0"/>
              <w:snapToGrid w:val="0"/>
              <w:rPr>
                <w:rFonts w:hAnsi="仿宋" w:cs="宋体"/>
                <w:kern w:val="0"/>
                <w:sz w:val="24"/>
                <w:szCs w:val="24"/>
              </w:rPr>
            </w:pPr>
            <w:r>
              <w:rPr>
                <w:rFonts w:hint="eastAsia" w:hAnsi="仿宋" w:cs="宋体"/>
                <w:kern w:val="0"/>
                <w:sz w:val="24"/>
                <w:szCs w:val="24"/>
              </w:rPr>
              <w:t>（2）质量管理体系内审的规定；</w:t>
            </w:r>
          </w:p>
          <w:p>
            <w:pPr>
              <w:widowControl/>
              <w:adjustRightInd w:val="0"/>
              <w:snapToGrid w:val="0"/>
              <w:rPr>
                <w:rFonts w:hAnsi="仿宋" w:cs="宋体"/>
                <w:kern w:val="0"/>
                <w:sz w:val="24"/>
                <w:szCs w:val="24"/>
              </w:rPr>
            </w:pPr>
            <w:r>
              <w:rPr>
                <w:rFonts w:hint="eastAsia" w:hAnsi="仿宋" w:cs="宋体"/>
                <w:kern w:val="0"/>
                <w:sz w:val="24"/>
                <w:szCs w:val="24"/>
              </w:rPr>
              <w:t>（3）有关部门、组织和人员的质量责任；</w:t>
            </w:r>
          </w:p>
          <w:p>
            <w:pPr>
              <w:widowControl/>
              <w:adjustRightInd w:val="0"/>
              <w:snapToGrid w:val="0"/>
              <w:rPr>
                <w:rFonts w:hAnsi="仿宋" w:cs="宋体"/>
                <w:kern w:val="0"/>
                <w:sz w:val="24"/>
                <w:szCs w:val="24"/>
              </w:rPr>
            </w:pPr>
            <w:r>
              <w:rPr>
                <w:rFonts w:hint="eastAsia" w:hAnsi="仿宋" w:cs="宋体"/>
                <w:kern w:val="0"/>
                <w:sz w:val="24"/>
                <w:szCs w:val="24"/>
              </w:rPr>
              <w:t>（4）质量否决的规定；</w:t>
            </w:r>
          </w:p>
          <w:p>
            <w:pPr>
              <w:widowControl/>
              <w:adjustRightInd w:val="0"/>
              <w:snapToGrid w:val="0"/>
              <w:rPr>
                <w:rFonts w:hAnsi="仿宋" w:cs="宋体"/>
                <w:kern w:val="0"/>
                <w:sz w:val="24"/>
                <w:szCs w:val="24"/>
              </w:rPr>
            </w:pPr>
            <w:r>
              <w:rPr>
                <w:rFonts w:hint="eastAsia" w:hAnsi="仿宋" w:cs="宋体"/>
                <w:kern w:val="0"/>
                <w:sz w:val="24"/>
                <w:szCs w:val="24"/>
              </w:rPr>
              <w:t>（5）质量信息管理；</w:t>
            </w:r>
          </w:p>
          <w:p>
            <w:pPr>
              <w:widowControl/>
              <w:adjustRightInd w:val="0"/>
              <w:snapToGrid w:val="0"/>
              <w:rPr>
                <w:rFonts w:hAnsi="仿宋" w:cs="宋体"/>
                <w:kern w:val="0"/>
                <w:sz w:val="24"/>
                <w:szCs w:val="24"/>
              </w:rPr>
            </w:pPr>
            <w:r>
              <w:rPr>
                <w:rFonts w:hint="eastAsia" w:hAnsi="仿宋" w:cs="宋体"/>
                <w:kern w:val="0"/>
                <w:sz w:val="24"/>
                <w:szCs w:val="24"/>
              </w:rPr>
              <w:t>（6）医用氧采购、收货、验收、储存、养护、销售、出库、运输的管理；</w:t>
            </w:r>
          </w:p>
          <w:p>
            <w:pPr>
              <w:adjustRightInd w:val="0"/>
              <w:snapToGrid w:val="0"/>
              <w:rPr>
                <w:rFonts w:hAnsi="仿宋" w:cs="宋体"/>
                <w:kern w:val="0"/>
                <w:sz w:val="24"/>
                <w:szCs w:val="24"/>
              </w:rPr>
            </w:pPr>
            <w:r>
              <w:rPr>
                <w:rFonts w:hint="eastAsia" w:hAnsi="仿宋" w:cs="宋体"/>
                <w:kern w:val="0"/>
                <w:sz w:val="24"/>
                <w:szCs w:val="24"/>
              </w:rPr>
              <w:t>（7）销售和售后服务的管理；</w:t>
            </w:r>
          </w:p>
          <w:p>
            <w:pPr>
              <w:widowControl/>
              <w:adjustRightInd w:val="0"/>
              <w:snapToGrid w:val="0"/>
              <w:rPr>
                <w:rFonts w:hAnsi="仿宋" w:cs="宋体"/>
                <w:kern w:val="0"/>
                <w:sz w:val="24"/>
                <w:szCs w:val="24"/>
              </w:rPr>
            </w:pPr>
            <w:r>
              <w:rPr>
                <w:rFonts w:hint="eastAsia" w:hAnsi="仿宋" w:cs="宋体"/>
                <w:kern w:val="0"/>
                <w:sz w:val="24"/>
                <w:szCs w:val="24"/>
              </w:rPr>
              <w:t>（8）有关记录和凭证的管理；</w:t>
            </w:r>
          </w:p>
          <w:p>
            <w:pPr>
              <w:widowControl/>
              <w:adjustRightInd w:val="0"/>
              <w:snapToGrid w:val="0"/>
              <w:rPr>
                <w:rFonts w:hAnsi="仿宋" w:cs="宋体"/>
                <w:kern w:val="0"/>
                <w:sz w:val="24"/>
                <w:szCs w:val="24"/>
              </w:rPr>
            </w:pPr>
            <w:r>
              <w:rPr>
                <w:rFonts w:hint="eastAsia" w:hAnsi="仿宋" w:cs="宋体"/>
                <w:kern w:val="0"/>
                <w:sz w:val="24"/>
                <w:szCs w:val="24"/>
              </w:rPr>
              <w:t>（9）医用氧退货的管理；</w:t>
            </w:r>
          </w:p>
          <w:p>
            <w:pPr>
              <w:widowControl/>
              <w:adjustRightInd w:val="0"/>
              <w:snapToGrid w:val="0"/>
              <w:rPr>
                <w:rFonts w:hAnsi="仿宋" w:cs="宋体"/>
                <w:kern w:val="0"/>
                <w:sz w:val="24"/>
                <w:szCs w:val="24"/>
              </w:rPr>
            </w:pPr>
            <w:r>
              <w:rPr>
                <w:rFonts w:hint="eastAsia" w:hAnsi="仿宋" w:cs="宋体"/>
                <w:kern w:val="0"/>
                <w:sz w:val="24"/>
                <w:szCs w:val="24"/>
              </w:rPr>
              <w:t>（10）质量事故、质量查询和质量投拆的管理；</w:t>
            </w:r>
          </w:p>
          <w:p>
            <w:pPr>
              <w:widowControl/>
              <w:adjustRightInd w:val="0"/>
              <w:snapToGrid w:val="0"/>
              <w:rPr>
                <w:rFonts w:hAnsi="仿宋" w:cs="宋体"/>
                <w:kern w:val="0"/>
                <w:sz w:val="24"/>
                <w:szCs w:val="24"/>
              </w:rPr>
            </w:pPr>
            <w:r>
              <w:rPr>
                <w:rFonts w:hint="eastAsia" w:hAnsi="仿宋" w:cs="宋体"/>
                <w:kern w:val="0"/>
                <w:sz w:val="24"/>
                <w:szCs w:val="24"/>
              </w:rPr>
              <w:t>（11）医用氧不良反应报告的管理；</w:t>
            </w:r>
          </w:p>
          <w:p>
            <w:pPr>
              <w:widowControl/>
              <w:adjustRightInd w:val="0"/>
              <w:snapToGrid w:val="0"/>
              <w:rPr>
                <w:rFonts w:hAnsi="仿宋" w:cs="宋体"/>
                <w:kern w:val="0"/>
                <w:sz w:val="24"/>
                <w:szCs w:val="24"/>
              </w:rPr>
            </w:pPr>
            <w:r>
              <w:rPr>
                <w:rFonts w:hint="eastAsia" w:hAnsi="仿宋" w:cs="宋体"/>
                <w:kern w:val="0"/>
                <w:sz w:val="24"/>
                <w:szCs w:val="24"/>
              </w:rPr>
              <w:t>（12）卫生和人员健康状况的管理；</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CellMar>
            <w:top w:w="0" w:type="dxa"/>
            <w:left w:w="108" w:type="dxa"/>
            <w:bottom w:w="0" w:type="dxa"/>
            <w:right w:w="108" w:type="dxa"/>
          </w:tblCellMar>
        </w:tblPrEx>
        <w:trPr>
          <w:trHeight w:val="2665"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*57</w:t>
            </w:r>
          </w:p>
        </w:tc>
        <w:tc>
          <w:tcPr>
            <w:tcW w:w="1500"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质量管理  体系文件</w:t>
            </w: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（13）储存运输等设施设备管理；</w:t>
            </w:r>
          </w:p>
          <w:p>
            <w:pPr>
              <w:widowControl/>
              <w:adjustRightInd w:val="0"/>
              <w:snapToGrid w:val="0"/>
              <w:rPr>
                <w:rFonts w:hAnsi="仿宋" w:cs="宋体"/>
                <w:kern w:val="0"/>
                <w:sz w:val="24"/>
                <w:szCs w:val="24"/>
              </w:rPr>
            </w:pPr>
            <w:r>
              <w:rPr>
                <w:rFonts w:hint="eastAsia" w:hAnsi="仿宋" w:cs="宋体"/>
                <w:kern w:val="0"/>
                <w:sz w:val="24"/>
                <w:szCs w:val="24"/>
              </w:rPr>
              <w:t>（14）计量器具管理；</w:t>
            </w:r>
          </w:p>
          <w:p>
            <w:pPr>
              <w:widowControl/>
              <w:adjustRightInd w:val="0"/>
              <w:snapToGrid w:val="0"/>
              <w:rPr>
                <w:rFonts w:hAnsi="仿宋" w:cs="宋体"/>
                <w:kern w:val="0"/>
                <w:sz w:val="24"/>
                <w:szCs w:val="24"/>
              </w:rPr>
            </w:pPr>
            <w:r>
              <w:rPr>
                <w:rFonts w:hint="eastAsia" w:hAnsi="仿宋" w:cs="宋体"/>
                <w:kern w:val="0"/>
                <w:sz w:val="24"/>
                <w:szCs w:val="24"/>
              </w:rPr>
              <w:t>（15）质量方面的教育、培训及考核的管理；</w:t>
            </w:r>
          </w:p>
          <w:p>
            <w:pPr>
              <w:widowControl/>
              <w:adjustRightInd w:val="0"/>
              <w:snapToGrid w:val="0"/>
              <w:rPr>
                <w:rFonts w:hAnsi="仿宋" w:cs="宋体"/>
                <w:kern w:val="0"/>
                <w:sz w:val="24"/>
                <w:szCs w:val="24"/>
              </w:rPr>
            </w:pPr>
            <w:r>
              <w:rPr>
                <w:rFonts w:hint="eastAsia" w:hAnsi="仿宋" w:cs="宋体"/>
                <w:kern w:val="0"/>
                <w:sz w:val="24"/>
                <w:szCs w:val="24"/>
              </w:rPr>
              <w:t>（16）计算机系统管理；</w:t>
            </w:r>
          </w:p>
          <w:p>
            <w:pPr>
              <w:widowControl/>
              <w:adjustRightInd w:val="0"/>
              <w:snapToGrid w:val="0"/>
              <w:rPr>
                <w:rFonts w:hAnsi="仿宋" w:cs="宋体"/>
                <w:kern w:val="0"/>
                <w:sz w:val="24"/>
                <w:szCs w:val="24"/>
              </w:rPr>
            </w:pPr>
            <w:r>
              <w:rPr>
                <w:rFonts w:hint="eastAsia" w:hAnsi="仿宋" w:cs="宋体"/>
                <w:kern w:val="0"/>
                <w:sz w:val="24"/>
                <w:szCs w:val="24"/>
              </w:rPr>
              <w:t>（17）校准与验证管理；</w:t>
            </w:r>
          </w:p>
          <w:p>
            <w:pPr>
              <w:widowControl/>
              <w:adjustRightInd w:val="0"/>
              <w:snapToGrid w:val="0"/>
              <w:rPr>
                <w:rFonts w:hAnsi="仿宋" w:cs="宋体"/>
                <w:kern w:val="0"/>
                <w:sz w:val="24"/>
                <w:szCs w:val="24"/>
              </w:rPr>
            </w:pPr>
            <w:r>
              <w:rPr>
                <w:rFonts w:hint="eastAsia" w:hAnsi="仿宋" w:cs="宋体"/>
                <w:kern w:val="0"/>
                <w:sz w:val="24"/>
                <w:szCs w:val="24"/>
              </w:rPr>
              <w:t>（18）医用氧追溯的规定；</w:t>
            </w:r>
          </w:p>
          <w:p>
            <w:pPr>
              <w:adjustRightInd w:val="0"/>
              <w:snapToGrid w:val="0"/>
              <w:rPr>
                <w:rFonts w:hAnsi="仿宋" w:cs="宋体"/>
                <w:kern w:val="0"/>
                <w:sz w:val="24"/>
                <w:szCs w:val="24"/>
              </w:rPr>
            </w:pPr>
            <w:r>
              <w:rPr>
                <w:rFonts w:hint="eastAsia" w:hAnsi="仿宋" w:cs="宋体"/>
                <w:kern w:val="0"/>
                <w:sz w:val="24"/>
                <w:szCs w:val="24"/>
              </w:rPr>
              <w:t>（19）其他应当规定的内容。</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*58</w:t>
            </w:r>
          </w:p>
        </w:tc>
        <w:tc>
          <w:tcPr>
            <w:tcW w:w="1500" w:type="dxa"/>
            <w:vMerge w:val="restart"/>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质量管理  体系文件</w:t>
            </w: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部门及岗位职责应当包括：</w:t>
            </w:r>
            <w:r>
              <w:rPr>
                <w:rFonts w:hint="eastAsia" w:hAnsi="仿宋" w:cs="宋体"/>
                <w:kern w:val="0"/>
                <w:sz w:val="24"/>
                <w:szCs w:val="24"/>
              </w:rPr>
              <w:br w:type="textWrapping"/>
            </w:r>
            <w:r>
              <w:rPr>
                <w:rFonts w:hint="eastAsia" w:hAnsi="仿宋" w:cs="宋体"/>
                <w:kern w:val="0"/>
                <w:sz w:val="24"/>
                <w:szCs w:val="24"/>
              </w:rPr>
              <w:t>（一）质量管理、采购、储存、销售、运输、财务和信息管理等部门职责；</w:t>
            </w:r>
            <w:r>
              <w:rPr>
                <w:rFonts w:hint="eastAsia" w:hAnsi="仿宋" w:cs="宋体"/>
                <w:kern w:val="0"/>
                <w:sz w:val="24"/>
                <w:szCs w:val="24"/>
              </w:rPr>
              <w:br w:type="textWrapping"/>
            </w:r>
            <w:r>
              <w:rPr>
                <w:rFonts w:hint="eastAsia" w:hAnsi="仿宋" w:cs="宋体"/>
                <w:kern w:val="0"/>
                <w:sz w:val="24"/>
                <w:szCs w:val="24"/>
              </w:rPr>
              <w:t>（二）企业负责人、质量负责人及质量管理、采购、储存、销售、运输、财务和信息管理等部门负责人的岗位职责；</w:t>
            </w:r>
            <w:r>
              <w:rPr>
                <w:rFonts w:hint="eastAsia" w:hAnsi="仿宋" w:cs="宋体"/>
                <w:kern w:val="0"/>
                <w:sz w:val="24"/>
                <w:szCs w:val="24"/>
              </w:rPr>
              <w:br w:type="textWrapping"/>
            </w:r>
            <w:r>
              <w:rPr>
                <w:rFonts w:hint="eastAsia" w:hAnsi="仿宋" w:cs="宋体"/>
                <w:kern w:val="0"/>
                <w:sz w:val="24"/>
                <w:szCs w:val="24"/>
              </w:rPr>
              <w:t>（三）质量管理、采购、收货、验收、储存、养护、销售、出库复核、运输、财务、信息管理等岗位职责；</w:t>
            </w:r>
            <w:r>
              <w:rPr>
                <w:rFonts w:hint="eastAsia" w:hAnsi="仿宋" w:cs="宋体"/>
                <w:kern w:val="0"/>
                <w:sz w:val="24"/>
                <w:szCs w:val="24"/>
              </w:rPr>
              <w:br w:type="textWrapping"/>
            </w:r>
            <w:r>
              <w:rPr>
                <w:rFonts w:hint="eastAsia" w:hAnsi="仿宋" w:cs="宋体"/>
                <w:kern w:val="0"/>
                <w:sz w:val="24"/>
                <w:szCs w:val="24"/>
              </w:rPr>
              <w:t>（四）与医用氧经营相关的其他岗位职责。</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*59</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企业应当制定药品采购、收货、验收、储存、养护、销售、出库复核、运输等环节操作规程。</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6" w:hRule="atLeast"/>
        </w:trPr>
        <w:tc>
          <w:tcPr>
            <w:tcW w:w="821" w:type="dxa"/>
            <w:tcBorders>
              <w:bottom w:val="single" w:color="auto" w:sz="4" w:space="0"/>
            </w:tcBorders>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*60</w:t>
            </w:r>
          </w:p>
        </w:tc>
        <w:tc>
          <w:tcPr>
            <w:tcW w:w="1500" w:type="dxa"/>
            <w:tcBorders>
              <w:bottom w:val="single" w:color="auto" w:sz="4" w:space="0"/>
            </w:tcBorders>
            <w:shd w:val="clear" w:color="auto" w:fill="auto"/>
            <w:vAlign w:val="center"/>
          </w:tcPr>
          <w:p>
            <w:pPr>
              <w:adjustRightInd w:val="0"/>
              <w:snapToGrid w:val="0"/>
              <w:jc w:val="center"/>
              <w:rPr>
                <w:rFonts w:hAnsi="仿宋" w:cs="宋体"/>
                <w:b/>
                <w:bCs/>
                <w:kern w:val="0"/>
                <w:sz w:val="24"/>
                <w:szCs w:val="24"/>
              </w:rPr>
            </w:pPr>
            <w:r>
              <w:rPr>
                <w:rFonts w:hint="eastAsia" w:hAnsi="仿宋" w:cs="宋体"/>
                <w:b/>
                <w:bCs/>
                <w:kern w:val="0"/>
                <w:sz w:val="24"/>
                <w:szCs w:val="24"/>
              </w:rPr>
              <w:t>质量管理  体系文件</w:t>
            </w:r>
          </w:p>
        </w:tc>
        <w:tc>
          <w:tcPr>
            <w:tcW w:w="9176" w:type="dxa"/>
            <w:tcBorders>
              <w:bottom w:val="single" w:color="auto" w:sz="4" w:space="0"/>
            </w:tcBorders>
            <w:shd w:val="clear" w:color="auto" w:fill="auto"/>
            <w:vAlign w:val="center"/>
          </w:tcPr>
          <w:p>
            <w:pPr>
              <w:widowControl/>
              <w:adjustRightInd w:val="0"/>
              <w:snapToGrid w:val="0"/>
              <w:jc w:val="left"/>
              <w:rPr>
                <w:rFonts w:hAnsi="仿宋" w:cs="宋体"/>
                <w:kern w:val="0"/>
                <w:sz w:val="24"/>
                <w:szCs w:val="24"/>
              </w:rPr>
            </w:pPr>
            <w:r>
              <w:rPr>
                <w:rFonts w:hint="eastAsia" w:hAnsi="仿宋" w:cs="宋体"/>
                <w:kern w:val="0"/>
                <w:sz w:val="24"/>
                <w:szCs w:val="24"/>
              </w:rPr>
              <w:t>企业应建立医用氧质量管理记录和档案，内容包括：</w:t>
            </w:r>
            <w:r>
              <w:rPr>
                <w:rFonts w:hint="eastAsia" w:ascii="宋体" w:hAnsi="宋体" w:eastAsia="宋体" w:cs="宋体"/>
                <w:kern w:val="0"/>
                <w:sz w:val="24"/>
                <w:szCs w:val="24"/>
              </w:rPr>
              <w:t> </w:t>
            </w:r>
          </w:p>
          <w:p>
            <w:pPr>
              <w:widowControl/>
              <w:adjustRightInd w:val="0"/>
              <w:snapToGrid w:val="0"/>
              <w:rPr>
                <w:rFonts w:hAnsi="仿宋" w:cs="宋体"/>
                <w:kern w:val="0"/>
                <w:sz w:val="24"/>
                <w:szCs w:val="24"/>
              </w:rPr>
            </w:pPr>
            <w:r>
              <w:rPr>
                <w:rFonts w:hint="eastAsia" w:hAnsi="仿宋" w:cs="宋体"/>
                <w:kern w:val="0"/>
                <w:sz w:val="24"/>
                <w:szCs w:val="24"/>
              </w:rPr>
              <w:t>（1）医用氧购进记录；</w:t>
            </w:r>
          </w:p>
          <w:p>
            <w:pPr>
              <w:widowControl/>
              <w:adjustRightInd w:val="0"/>
              <w:snapToGrid w:val="0"/>
              <w:rPr>
                <w:rFonts w:hAnsi="仿宋" w:cs="宋体"/>
                <w:kern w:val="0"/>
                <w:sz w:val="24"/>
                <w:szCs w:val="24"/>
              </w:rPr>
            </w:pPr>
            <w:r>
              <w:rPr>
                <w:rFonts w:hint="eastAsia" w:hAnsi="仿宋" w:cs="宋体"/>
                <w:kern w:val="0"/>
                <w:sz w:val="24"/>
                <w:szCs w:val="24"/>
              </w:rPr>
              <w:t>（2）医用氧验收记录；</w:t>
            </w:r>
          </w:p>
          <w:p>
            <w:pPr>
              <w:widowControl/>
              <w:adjustRightInd w:val="0"/>
              <w:snapToGrid w:val="0"/>
              <w:rPr>
                <w:rFonts w:hAnsi="仿宋" w:cs="宋体"/>
                <w:kern w:val="0"/>
                <w:sz w:val="24"/>
                <w:szCs w:val="24"/>
              </w:rPr>
            </w:pPr>
            <w:r>
              <w:rPr>
                <w:rFonts w:hint="eastAsia" w:hAnsi="仿宋" w:cs="宋体"/>
                <w:kern w:val="0"/>
                <w:sz w:val="24"/>
                <w:szCs w:val="24"/>
              </w:rPr>
              <w:t>（3）医用氧出库复核记录；</w:t>
            </w:r>
          </w:p>
          <w:p>
            <w:pPr>
              <w:widowControl/>
              <w:adjustRightInd w:val="0"/>
              <w:snapToGrid w:val="0"/>
              <w:rPr>
                <w:rFonts w:hAnsi="仿宋" w:cs="宋体"/>
                <w:kern w:val="0"/>
                <w:sz w:val="24"/>
                <w:szCs w:val="24"/>
              </w:rPr>
            </w:pPr>
            <w:r>
              <w:rPr>
                <w:rFonts w:hint="eastAsia" w:hAnsi="仿宋" w:cs="宋体"/>
                <w:kern w:val="0"/>
                <w:sz w:val="24"/>
                <w:szCs w:val="24"/>
              </w:rPr>
              <w:t>（4）医用氧销售记录；</w:t>
            </w:r>
          </w:p>
          <w:p>
            <w:pPr>
              <w:widowControl/>
              <w:adjustRightInd w:val="0"/>
              <w:snapToGrid w:val="0"/>
              <w:rPr>
                <w:rFonts w:hAnsi="仿宋" w:cs="宋体"/>
                <w:kern w:val="0"/>
                <w:sz w:val="24"/>
                <w:szCs w:val="24"/>
              </w:rPr>
            </w:pPr>
            <w:r>
              <w:rPr>
                <w:rFonts w:hint="eastAsia" w:hAnsi="仿宋" w:cs="宋体"/>
                <w:kern w:val="0"/>
                <w:sz w:val="24"/>
                <w:szCs w:val="24"/>
              </w:rPr>
              <w:t>（5）医用氧运输记录；</w:t>
            </w:r>
          </w:p>
          <w:p>
            <w:pPr>
              <w:widowControl/>
              <w:adjustRightInd w:val="0"/>
              <w:snapToGrid w:val="0"/>
              <w:rPr>
                <w:rFonts w:hAnsi="仿宋" w:cs="宋体"/>
                <w:kern w:val="0"/>
                <w:sz w:val="24"/>
                <w:szCs w:val="24"/>
              </w:rPr>
            </w:pPr>
            <w:r>
              <w:rPr>
                <w:rFonts w:hint="eastAsia" w:hAnsi="仿宋" w:cs="宋体"/>
                <w:kern w:val="0"/>
                <w:sz w:val="24"/>
                <w:szCs w:val="24"/>
              </w:rPr>
              <w:t>（6）医用氧质量查询、投诉情况记录；</w:t>
            </w:r>
          </w:p>
          <w:p>
            <w:pPr>
              <w:widowControl/>
              <w:adjustRightInd w:val="0"/>
              <w:snapToGrid w:val="0"/>
              <w:rPr>
                <w:rFonts w:hAnsi="仿宋" w:cs="宋体"/>
                <w:kern w:val="0"/>
                <w:sz w:val="24"/>
                <w:szCs w:val="24"/>
              </w:rPr>
            </w:pPr>
            <w:r>
              <w:rPr>
                <w:rFonts w:hint="eastAsia" w:hAnsi="仿宋" w:cs="宋体"/>
                <w:kern w:val="0"/>
                <w:sz w:val="24"/>
                <w:szCs w:val="24"/>
              </w:rPr>
              <w:t>（7）不合格医用氧报废、销毁记录；</w:t>
            </w:r>
          </w:p>
          <w:p>
            <w:pPr>
              <w:widowControl/>
              <w:adjustRightInd w:val="0"/>
              <w:snapToGrid w:val="0"/>
              <w:rPr>
                <w:rFonts w:hAnsi="仿宋" w:cs="宋体"/>
                <w:kern w:val="0"/>
                <w:sz w:val="24"/>
                <w:szCs w:val="24"/>
              </w:rPr>
            </w:pPr>
            <w:r>
              <w:rPr>
                <w:rFonts w:hint="eastAsia" w:hAnsi="仿宋" w:cs="宋体"/>
                <w:kern w:val="0"/>
                <w:sz w:val="24"/>
                <w:szCs w:val="24"/>
              </w:rPr>
              <w:t>（8）直调医用氧质量验收记录；</w:t>
            </w:r>
          </w:p>
          <w:p>
            <w:pPr>
              <w:widowControl/>
              <w:adjustRightInd w:val="0"/>
              <w:snapToGrid w:val="0"/>
              <w:rPr>
                <w:rFonts w:hAnsi="仿宋" w:cs="宋体"/>
                <w:kern w:val="0"/>
                <w:sz w:val="24"/>
                <w:szCs w:val="24"/>
              </w:rPr>
            </w:pPr>
            <w:r>
              <w:rPr>
                <w:rFonts w:hint="eastAsia" w:hAnsi="仿宋" w:cs="宋体"/>
                <w:kern w:val="0"/>
                <w:sz w:val="24"/>
                <w:szCs w:val="24"/>
              </w:rPr>
              <w:t>（9）医用氧退货记录；</w:t>
            </w:r>
          </w:p>
          <w:p>
            <w:pPr>
              <w:widowControl/>
              <w:adjustRightInd w:val="0"/>
              <w:snapToGrid w:val="0"/>
              <w:rPr>
                <w:rFonts w:hAnsi="仿宋" w:cs="宋体"/>
                <w:kern w:val="0"/>
                <w:sz w:val="24"/>
                <w:szCs w:val="24"/>
              </w:rPr>
            </w:pPr>
            <w:r>
              <w:rPr>
                <w:rFonts w:hint="eastAsia" w:hAnsi="仿宋" w:cs="宋体"/>
                <w:kern w:val="0"/>
                <w:sz w:val="24"/>
                <w:szCs w:val="24"/>
              </w:rPr>
              <w:t>（10）销后退回医用氧验收记录；</w:t>
            </w:r>
          </w:p>
          <w:p>
            <w:pPr>
              <w:widowControl/>
              <w:adjustRightInd w:val="0"/>
              <w:snapToGrid w:val="0"/>
              <w:rPr>
                <w:rFonts w:hAnsi="仿宋" w:cs="宋体"/>
                <w:kern w:val="0"/>
                <w:sz w:val="24"/>
                <w:szCs w:val="24"/>
              </w:rPr>
            </w:pPr>
            <w:r>
              <w:rPr>
                <w:rFonts w:hint="eastAsia" w:hAnsi="仿宋" w:cs="宋体"/>
                <w:kern w:val="0"/>
                <w:sz w:val="24"/>
                <w:szCs w:val="24"/>
              </w:rPr>
              <w:t>（11）计量器具和设施设备的使用、维修、校准和检定记录；</w:t>
            </w:r>
          </w:p>
          <w:p>
            <w:pPr>
              <w:adjustRightInd w:val="0"/>
              <w:snapToGrid w:val="0"/>
              <w:rPr>
                <w:rFonts w:hAnsi="仿宋" w:cs="宋体"/>
                <w:kern w:val="0"/>
                <w:sz w:val="24"/>
                <w:szCs w:val="24"/>
              </w:rPr>
            </w:pPr>
            <w:r>
              <w:rPr>
                <w:rFonts w:hint="eastAsia" w:hAnsi="仿宋" w:cs="宋体"/>
                <w:kern w:val="0"/>
                <w:sz w:val="24"/>
                <w:szCs w:val="24"/>
              </w:rPr>
              <w:t>（12）质量事故报告记录；</w:t>
            </w:r>
          </w:p>
          <w:p>
            <w:pPr>
              <w:widowControl/>
              <w:adjustRightInd w:val="0"/>
              <w:snapToGrid w:val="0"/>
              <w:rPr>
                <w:rFonts w:hAnsi="仿宋" w:cs="宋体"/>
                <w:kern w:val="0"/>
                <w:sz w:val="24"/>
                <w:szCs w:val="24"/>
              </w:rPr>
            </w:pPr>
            <w:r>
              <w:rPr>
                <w:rFonts w:hint="eastAsia" w:hAnsi="仿宋" w:cs="宋体"/>
                <w:kern w:val="0"/>
                <w:sz w:val="24"/>
                <w:szCs w:val="24"/>
              </w:rPr>
              <w:t>（13）医用氧不良反应报告记录；</w:t>
            </w:r>
          </w:p>
          <w:p>
            <w:pPr>
              <w:widowControl/>
              <w:adjustRightInd w:val="0"/>
              <w:snapToGrid w:val="0"/>
              <w:rPr>
                <w:rFonts w:hAnsi="仿宋" w:cs="宋体"/>
                <w:kern w:val="0"/>
                <w:sz w:val="24"/>
                <w:szCs w:val="24"/>
              </w:rPr>
            </w:pPr>
            <w:r>
              <w:rPr>
                <w:rFonts w:hint="eastAsia" w:hAnsi="仿宋" w:cs="宋体"/>
                <w:kern w:val="0"/>
                <w:sz w:val="24"/>
                <w:szCs w:val="24"/>
              </w:rPr>
              <w:t>（14）质量管理制度执行情况检查和考核记录；</w:t>
            </w:r>
          </w:p>
          <w:p>
            <w:pPr>
              <w:widowControl/>
              <w:adjustRightInd w:val="0"/>
              <w:snapToGrid w:val="0"/>
              <w:rPr>
                <w:rFonts w:hAnsi="仿宋" w:cs="宋体"/>
                <w:kern w:val="0"/>
                <w:sz w:val="24"/>
                <w:szCs w:val="24"/>
              </w:rPr>
            </w:pPr>
            <w:r>
              <w:rPr>
                <w:rFonts w:hint="eastAsia" w:hAnsi="仿宋" w:cs="宋体"/>
                <w:kern w:val="0"/>
                <w:sz w:val="24"/>
                <w:szCs w:val="24"/>
              </w:rPr>
              <w:t>（15）员工健康检查档案；</w:t>
            </w:r>
          </w:p>
          <w:p>
            <w:pPr>
              <w:widowControl/>
              <w:adjustRightInd w:val="0"/>
              <w:snapToGrid w:val="0"/>
              <w:rPr>
                <w:rFonts w:hAnsi="仿宋" w:cs="宋体"/>
                <w:kern w:val="0"/>
                <w:sz w:val="24"/>
                <w:szCs w:val="24"/>
              </w:rPr>
            </w:pPr>
            <w:r>
              <w:rPr>
                <w:rFonts w:hint="eastAsia" w:hAnsi="仿宋" w:cs="宋体"/>
                <w:kern w:val="0"/>
                <w:sz w:val="24"/>
                <w:szCs w:val="24"/>
              </w:rPr>
              <w:t>（16）员工培训档案；</w:t>
            </w:r>
          </w:p>
          <w:p>
            <w:pPr>
              <w:widowControl/>
              <w:adjustRightInd w:val="0"/>
              <w:snapToGrid w:val="0"/>
              <w:rPr>
                <w:rFonts w:hAnsi="仿宋" w:cs="宋体"/>
                <w:kern w:val="0"/>
                <w:sz w:val="24"/>
                <w:szCs w:val="24"/>
              </w:rPr>
            </w:pPr>
            <w:r>
              <w:rPr>
                <w:rFonts w:hint="eastAsia" w:hAnsi="仿宋" w:cs="宋体"/>
                <w:kern w:val="0"/>
                <w:sz w:val="24"/>
                <w:szCs w:val="24"/>
              </w:rPr>
              <w:t>（17）医用氧质量档案；</w:t>
            </w:r>
          </w:p>
          <w:p>
            <w:pPr>
              <w:widowControl/>
              <w:adjustRightInd w:val="0"/>
              <w:snapToGrid w:val="0"/>
              <w:rPr>
                <w:rFonts w:hAnsi="仿宋" w:cs="宋体"/>
                <w:kern w:val="0"/>
                <w:sz w:val="24"/>
                <w:szCs w:val="24"/>
              </w:rPr>
            </w:pPr>
            <w:r>
              <w:rPr>
                <w:rFonts w:hint="eastAsia" w:hAnsi="仿宋" w:cs="宋体"/>
                <w:kern w:val="0"/>
                <w:sz w:val="24"/>
                <w:szCs w:val="24"/>
              </w:rPr>
              <w:t>（18）供货方档案；</w:t>
            </w:r>
          </w:p>
          <w:p>
            <w:pPr>
              <w:adjustRightInd w:val="0"/>
              <w:snapToGrid w:val="0"/>
              <w:rPr>
                <w:rFonts w:hAnsi="仿宋" w:cs="宋体"/>
                <w:kern w:val="0"/>
                <w:sz w:val="24"/>
                <w:szCs w:val="24"/>
              </w:rPr>
            </w:pPr>
            <w:r>
              <w:rPr>
                <w:rFonts w:hint="eastAsia" w:hAnsi="仿宋" w:cs="宋体"/>
                <w:kern w:val="0"/>
                <w:sz w:val="24"/>
                <w:szCs w:val="24"/>
              </w:rPr>
              <w:t>（19）购货方档案；</w:t>
            </w:r>
          </w:p>
        </w:tc>
        <w:tc>
          <w:tcPr>
            <w:tcW w:w="1276" w:type="dxa"/>
            <w:tcBorders>
              <w:bottom w:val="single" w:color="auto" w:sz="4" w:space="0"/>
            </w:tcBorders>
            <w:shd w:val="clear" w:color="auto" w:fill="auto"/>
            <w:vAlign w:val="center"/>
          </w:tcPr>
          <w:p>
            <w:pPr>
              <w:widowControl/>
              <w:adjustRightInd w:val="0"/>
              <w:snapToGrid w:val="0"/>
              <w:jc w:val="center"/>
              <w:rPr>
                <w:rFonts w:hAnsi="仿宋" w:cs="宋体"/>
                <w:b/>
                <w:bCs/>
                <w:kern w:val="0"/>
                <w:sz w:val="24"/>
                <w:szCs w:val="24"/>
              </w:rPr>
            </w:pPr>
          </w:p>
        </w:tc>
        <w:tc>
          <w:tcPr>
            <w:tcW w:w="1276" w:type="dxa"/>
            <w:tcBorders>
              <w:bottom w:val="single" w:color="auto" w:sz="4" w:space="0"/>
            </w:tcBorders>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trPr>
        <w:tc>
          <w:tcPr>
            <w:tcW w:w="821" w:type="dxa"/>
            <w:shd w:val="clear" w:color="auto" w:fill="auto"/>
            <w:vAlign w:val="center"/>
          </w:tcPr>
          <w:p>
            <w:pPr>
              <w:adjustRightInd w:val="0"/>
              <w:snapToGrid w:val="0"/>
              <w:jc w:val="center"/>
              <w:rPr>
                <w:rFonts w:hAnsi="仿宋" w:cs="宋体"/>
                <w:b/>
                <w:bCs/>
                <w:kern w:val="0"/>
                <w:sz w:val="24"/>
                <w:szCs w:val="24"/>
              </w:rPr>
            </w:pPr>
            <w:r>
              <w:rPr>
                <w:rFonts w:hint="eastAsia" w:hAnsi="仿宋" w:cs="宋体"/>
                <w:b/>
                <w:bCs/>
                <w:kern w:val="0"/>
                <w:sz w:val="24"/>
                <w:szCs w:val="24"/>
              </w:rPr>
              <w:t>*60</w:t>
            </w:r>
          </w:p>
        </w:tc>
        <w:tc>
          <w:tcPr>
            <w:tcW w:w="1500" w:type="dxa"/>
            <w:vMerge w:val="restart"/>
            <w:shd w:val="clear" w:color="auto" w:fill="auto"/>
            <w:vAlign w:val="center"/>
          </w:tcPr>
          <w:p>
            <w:pPr>
              <w:adjustRightInd w:val="0"/>
              <w:snapToGrid w:val="0"/>
              <w:jc w:val="center"/>
              <w:rPr>
                <w:rFonts w:hAnsi="仿宋" w:cs="宋体"/>
                <w:b/>
                <w:bCs/>
                <w:kern w:val="0"/>
                <w:sz w:val="24"/>
                <w:szCs w:val="24"/>
              </w:rPr>
            </w:pPr>
            <w:r>
              <w:rPr>
                <w:rFonts w:hint="eastAsia" w:hAnsi="仿宋" w:cs="宋体"/>
                <w:b/>
                <w:bCs/>
                <w:kern w:val="0"/>
                <w:sz w:val="24"/>
                <w:szCs w:val="24"/>
              </w:rPr>
              <w:t>质量管理  体系文件</w:t>
            </w: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（20）设施和设备及定期检查、维修、保养档案；</w:t>
            </w:r>
          </w:p>
          <w:p>
            <w:pPr>
              <w:widowControl/>
              <w:adjustRightInd w:val="0"/>
              <w:snapToGrid w:val="0"/>
              <w:rPr>
                <w:rFonts w:hAnsi="仿宋" w:cs="宋体"/>
                <w:kern w:val="0"/>
                <w:sz w:val="24"/>
                <w:szCs w:val="24"/>
              </w:rPr>
            </w:pPr>
            <w:r>
              <w:rPr>
                <w:rFonts w:hint="eastAsia" w:hAnsi="仿宋" w:cs="宋体"/>
                <w:kern w:val="0"/>
                <w:sz w:val="24"/>
                <w:szCs w:val="24"/>
              </w:rPr>
              <w:t>（21）计量器具管理档案；</w:t>
            </w:r>
          </w:p>
          <w:p>
            <w:pPr>
              <w:widowControl/>
              <w:adjustRightInd w:val="0"/>
              <w:snapToGrid w:val="0"/>
              <w:rPr>
                <w:rFonts w:hAnsi="仿宋" w:cs="宋体"/>
                <w:kern w:val="0"/>
                <w:sz w:val="24"/>
                <w:szCs w:val="24"/>
              </w:rPr>
            </w:pPr>
            <w:r>
              <w:rPr>
                <w:rFonts w:hint="eastAsia" w:hAnsi="仿宋" w:cs="宋体"/>
                <w:kern w:val="0"/>
                <w:sz w:val="24"/>
                <w:szCs w:val="24"/>
              </w:rPr>
              <w:t>（22）不合格医用氧报损审批表；</w:t>
            </w:r>
          </w:p>
          <w:p>
            <w:pPr>
              <w:widowControl/>
              <w:adjustRightInd w:val="0"/>
              <w:snapToGrid w:val="0"/>
              <w:rPr>
                <w:rFonts w:hAnsi="仿宋" w:cs="宋体"/>
                <w:kern w:val="0"/>
                <w:sz w:val="24"/>
                <w:szCs w:val="24"/>
              </w:rPr>
            </w:pPr>
            <w:r>
              <w:rPr>
                <w:rFonts w:hint="eastAsia" w:hAnsi="仿宋" w:cs="宋体"/>
                <w:kern w:val="0"/>
                <w:sz w:val="24"/>
                <w:szCs w:val="24"/>
              </w:rPr>
              <w:t>（23）医用氧质量信息汇总表；</w:t>
            </w:r>
          </w:p>
          <w:p>
            <w:pPr>
              <w:widowControl/>
              <w:adjustRightInd w:val="0"/>
              <w:snapToGrid w:val="0"/>
              <w:rPr>
                <w:rFonts w:hAnsi="仿宋" w:cs="宋体"/>
                <w:kern w:val="0"/>
                <w:sz w:val="24"/>
                <w:szCs w:val="24"/>
              </w:rPr>
            </w:pPr>
            <w:r>
              <w:rPr>
                <w:rFonts w:hint="eastAsia" w:hAnsi="仿宋" w:cs="宋体"/>
                <w:kern w:val="0"/>
                <w:sz w:val="24"/>
                <w:szCs w:val="24"/>
              </w:rPr>
              <w:t>（24）医用氧质量问题追踪表；</w:t>
            </w:r>
          </w:p>
          <w:p>
            <w:pPr>
              <w:adjustRightInd w:val="0"/>
              <w:snapToGrid w:val="0"/>
              <w:rPr>
                <w:rFonts w:hAnsi="仿宋" w:cs="宋体"/>
                <w:kern w:val="0"/>
                <w:sz w:val="24"/>
                <w:szCs w:val="24"/>
              </w:rPr>
            </w:pPr>
            <w:r>
              <w:rPr>
                <w:rFonts w:hint="eastAsia" w:hAnsi="仿宋" w:cs="宋体"/>
                <w:kern w:val="0"/>
                <w:sz w:val="24"/>
                <w:szCs w:val="24"/>
              </w:rPr>
              <w:t>（25）医用氧不良反应报告表；</w:t>
            </w:r>
          </w:p>
          <w:p>
            <w:pPr>
              <w:adjustRightInd w:val="0"/>
              <w:snapToGrid w:val="0"/>
              <w:rPr>
                <w:rFonts w:hAnsi="仿宋" w:cs="宋体"/>
                <w:kern w:val="0"/>
                <w:sz w:val="24"/>
                <w:szCs w:val="24"/>
              </w:rPr>
            </w:pPr>
            <w:r>
              <w:rPr>
                <w:rFonts w:hint="eastAsia" w:hAnsi="仿宋" w:cs="宋体"/>
                <w:kern w:val="0"/>
                <w:sz w:val="24"/>
                <w:szCs w:val="24"/>
              </w:rPr>
              <w:t>（26）其他应当建立记录和档案的。</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*61</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记录应当真实、完整、准确、有效和可追溯，并至少保存5年备查。</w:t>
            </w:r>
          </w:p>
        </w:tc>
        <w:tc>
          <w:tcPr>
            <w:tcW w:w="1276" w:type="dxa"/>
            <w:shd w:val="clear" w:color="auto" w:fill="auto"/>
            <w:vAlign w:val="center"/>
          </w:tcPr>
          <w:p>
            <w:pPr>
              <w:widowControl/>
              <w:adjustRightInd w:val="0"/>
              <w:snapToGrid w:val="0"/>
              <w:jc w:val="center"/>
              <w:rPr>
                <w:rFonts w:hAnsi="仿宋" w:cs="宋体"/>
                <w:b/>
                <w:bCs/>
                <w:kern w:val="0"/>
                <w:sz w:val="24"/>
                <w:szCs w:val="24"/>
              </w:rPr>
            </w:pPr>
          </w:p>
        </w:tc>
        <w:tc>
          <w:tcPr>
            <w:tcW w:w="1276" w:type="dxa"/>
            <w:shd w:val="clear" w:color="auto" w:fill="auto"/>
            <w:vAlign w:val="center"/>
          </w:tcPr>
          <w:p>
            <w:pPr>
              <w:widowControl/>
              <w:adjustRightInd w:val="0"/>
              <w:snapToGrid w:val="0"/>
              <w:jc w:val="center"/>
              <w:rPr>
                <w:rFonts w:hAnsi="仿宋"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62</w:t>
            </w:r>
          </w:p>
        </w:tc>
        <w:tc>
          <w:tcPr>
            <w:tcW w:w="1500" w:type="dxa"/>
            <w:vMerge w:val="restart"/>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设备设施</w:t>
            </w:r>
          </w:p>
          <w:p>
            <w:pPr>
              <w:widowControl/>
              <w:adjustRightInd w:val="0"/>
              <w:snapToGrid w:val="0"/>
              <w:jc w:val="center"/>
              <w:rPr>
                <w:rFonts w:hAnsi="仿宋" w:cs="宋体"/>
                <w:b/>
                <w:bCs/>
                <w:kern w:val="0"/>
                <w:sz w:val="24"/>
                <w:szCs w:val="24"/>
              </w:rPr>
            </w:pPr>
            <w:r>
              <w:rPr>
                <w:rFonts w:hint="eastAsia" w:hAnsi="仿宋" w:cs="宋体"/>
                <w:b/>
                <w:bCs/>
                <w:kern w:val="0"/>
                <w:sz w:val="24"/>
                <w:szCs w:val="24"/>
              </w:rPr>
              <w:t>管理</w:t>
            </w: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库房的选址、设计、布局、建造、改造和维护应当符合医用氧储存要求，防止医用氧的污染、交叉污染、混淆和差错。库区的环境整洁、地面平整，无积水和杂草，无粉尘、有害气体等污染源。</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63</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企业的储存作业区、辅助作业区、办公区、生活区应分开一定距离，装卸、搬运、发运等作业场所应当有防止异常天气影响的设施设备和措施。</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64</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库房有可靠的安全防护措施，能够对无关人员进入实行可控管理，防止医用氧被盗和替换。</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*65</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液态医用氧必须用保持一定温度和压力的专用储槽或槽车进行储存。专用储槽或槽车应符合国家有关规定，并具有相关质量证明文件。</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66</w:t>
            </w:r>
          </w:p>
        </w:tc>
        <w:tc>
          <w:tcPr>
            <w:tcW w:w="1500" w:type="dxa"/>
            <w:vMerge w:val="restart"/>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设备设施</w:t>
            </w:r>
          </w:p>
          <w:p>
            <w:pPr>
              <w:adjustRightInd w:val="0"/>
              <w:snapToGrid w:val="0"/>
              <w:jc w:val="center"/>
              <w:rPr>
                <w:rFonts w:hAnsi="仿宋" w:cs="宋体"/>
                <w:b/>
                <w:bCs/>
                <w:kern w:val="0"/>
                <w:sz w:val="24"/>
                <w:szCs w:val="24"/>
              </w:rPr>
            </w:pPr>
            <w:r>
              <w:rPr>
                <w:rFonts w:hint="eastAsia" w:hAnsi="仿宋" w:cs="宋体"/>
                <w:b/>
                <w:bCs/>
                <w:kern w:val="0"/>
                <w:sz w:val="24"/>
                <w:szCs w:val="24"/>
              </w:rPr>
              <w:t>管理</w:t>
            </w: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仓库应配备有效通风、防火、防爆、防雷、防静电、防撞击、防倒瓶、防高温、防日晒等设施设备。</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67</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气态医用氧仓库应有符合安全用电要求的照明设施。</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*68</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企业应当配备槽车或专用运输车辆。</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*69</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企业应使用符合国家有关规定的计量器具和设施设备，并按照国家有关规定，对使用的计量器具和设施设备定期进行校准或者检定。</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**70</w:t>
            </w:r>
          </w:p>
        </w:tc>
        <w:tc>
          <w:tcPr>
            <w:tcW w:w="1500" w:type="dxa"/>
            <w:vMerge w:val="restart"/>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采购</w:t>
            </w: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企业采购医用氧应当确定包括上市许可持有人、医用氧生产企业等供货单位的合法资格，确定所购入医用氧的合法性，核实供货单位销售人员的合法资格。</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*71</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企业应建立产品质量档案，内容包括医用氧上市许可持有人和生产企业的《药品生产许可证》、最近一次的药品GMP符合性检查相关资料、《药品注册证》、医用氧出厂检验报告书、产品合格证明等。</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72</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企业采购医用氧应当与供货单位签订质量保证协议。</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**73</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企业采购医用氧时应当及时向供货单位索取发票。</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**74</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发票上的购、销单位名称及金额、品名应当与付款流向及金额、品名一致，并与财务账目内容相对应。</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75</w:t>
            </w:r>
          </w:p>
        </w:tc>
        <w:tc>
          <w:tcPr>
            <w:tcW w:w="1500" w:type="dxa"/>
            <w:vMerge w:val="restart"/>
            <w:shd w:val="clear" w:color="auto" w:fill="auto"/>
            <w:vAlign w:val="center"/>
          </w:tcPr>
          <w:p>
            <w:pPr>
              <w:widowControl/>
              <w:adjustRightInd w:val="0"/>
              <w:snapToGrid w:val="0"/>
              <w:jc w:val="center"/>
              <w:rPr>
                <w:rFonts w:hAnsi="仿宋" w:cs="宋体"/>
                <w:b/>
                <w:bCs/>
                <w:kern w:val="0"/>
                <w:sz w:val="24"/>
                <w:szCs w:val="24"/>
              </w:rPr>
            </w:pPr>
            <w:r>
              <w:rPr>
                <w:rFonts w:hint="eastAsia" w:ascii="方正仿宋_GBK" w:hAnsi="宋体" w:eastAsia="方正仿宋_GBK" w:cs="宋体"/>
                <w:b/>
                <w:bCs/>
                <w:kern w:val="0"/>
                <w:sz w:val="24"/>
                <w:szCs w:val="24"/>
              </w:rPr>
              <w:t>采购</w:t>
            </w: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采购医用氧应当建立采购记录，记录内容包括品名、规格、剂型、上市许可持有人、生产厂商、供货单位、供货地址、购进数量、购进日期、产品批号等。液态氧的采购记录还需注明储存方式（如：槽车、杜瓦罐、储罐等）；气态氧的采购记录还需标明气瓶类型、规格（如：无缝钢瓶，40升等）。</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*76</w:t>
            </w:r>
          </w:p>
        </w:tc>
        <w:tc>
          <w:tcPr>
            <w:tcW w:w="1500" w:type="dxa"/>
            <w:vMerge w:val="continue"/>
            <w:shd w:val="clear" w:color="auto" w:fill="auto"/>
            <w:noWrap/>
            <w:vAlign w:val="center"/>
          </w:tcPr>
          <w:p>
            <w:pPr>
              <w:adjustRightInd w:val="0"/>
              <w:snapToGrid w:val="0"/>
              <w:jc w:val="center"/>
              <w:rPr>
                <w:rFonts w:ascii="宋体" w:hAnsi="宋体" w:eastAsia="宋体" w:cs="宋体"/>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除发生灾情、疫情、突发事件或者临床紧急救治等特殊情况，以及其他符合国家有关规定的情形外，企业不得采用直调方式购销医用氧。</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77</w:t>
            </w:r>
          </w:p>
        </w:tc>
        <w:tc>
          <w:tcPr>
            <w:tcW w:w="1500" w:type="dxa"/>
            <w:vMerge w:val="continue"/>
            <w:shd w:val="clear" w:color="auto" w:fill="auto"/>
            <w:noWrap/>
            <w:vAlign w:val="center"/>
          </w:tcPr>
          <w:p>
            <w:pPr>
              <w:adjustRightInd w:val="0"/>
              <w:snapToGrid w:val="0"/>
              <w:jc w:val="center"/>
              <w:rPr>
                <w:rFonts w:ascii="方正仿宋_GBK" w:hAnsi="宋体" w:eastAsia="方正仿宋_GBK"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企业应当建立专门的直调记录，保证有效的质量跟踪和追溯。</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78</w:t>
            </w:r>
          </w:p>
        </w:tc>
        <w:tc>
          <w:tcPr>
            <w:tcW w:w="1500" w:type="dxa"/>
            <w:vMerge w:val="continue"/>
            <w:shd w:val="clear" w:color="auto" w:fill="auto"/>
            <w:noWrap/>
            <w:vAlign w:val="center"/>
          </w:tcPr>
          <w:p>
            <w:pPr>
              <w:widowControl/>
              <w:adjustRightInd w:val="0"/>
              <w:snapToGrid w:val="0"/>
              <w:jc w:val="center"/>
              <w:rPr>
                <w:rFonts w:ascii="方正仿宋_GBK" w:hAnsi="宋体" w:eastAsia="方正仿宋_GBK"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企业应当建立质量评审和供货单位质量档案，定期对医用氧采购的整体情况进行综合质量评审，并进行动态跟踪管理。</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*79</w:t>
            </w:r>
          </w:p>
        </w:tc>
        <w:tc>
          <w:tcPr>
            <w:tcW w:w="1500" w:type="dxa"/>
            <w:vMerge w:val="restart"/>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收货与验收</w:t>
            </w:r>
          </w:p>
        </w:tc>
        <w:tc>
          <w:tcPr>
            <w:tcW w:w="9176" w:type="dxa"/>
            <w:shd w:val="clear" w:color="auto" w:fill="auto"/>
            <w:vAlign w:val="center"/>
          </w:tcPr>
          <w:p>
            <w:pPr>
              <w:widowControl/>
              <w:adjustRightInd w:val="0"/>
              <w:snapToGrid w:val="0"/>
              <w:jc w:val="left"/>
              <w:rPr>
                <w:rFonts w:hAnsi="仿宋" w:cs="宋体"/>
                <w:kern w:val="0"/>
                <w:sz w:val="24"/>
                <w:szCs w:val="24"/>
              </w:rPr>
            </w:pPr>
            <w:r>
              <w:rPr>
                <w:rFonts w:hint="eastAsia" w:hAnsi="仿宋" w:cs="宋体"/>
                <w:kern w:val="0"/>
                <w:sz w:val="24"/>
                <w:szCs w:val="24"/>
              </w:rPr>
              <w:t>企业应当按照规定的程序和要求对到货医用氧逐批进行收货、验收，防止不合格医用氧入库。</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CellMar>
            <w:top w:w="0" w:type="dxa"/>
            <w:left w:w="108" w:type="dxa"/>
            <w:bottom w:w="0" w:type="dxa"/>
            <w:right w:w="108" w:type="dxa"/>
          </w:tblCellMar>
        </w:tblPrEx>
        <w:trPr>
          <w:trHeight w:val="709"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*80</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医用氧到货时，收货人员应当核实运输方式是否符合要求，并对照随货同行单（票）和采购记录核对医用氧，做到票、账、货相符。</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81</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收货人员对符合收货要求的医用氧，应当按品种特性要求放于相应待验区域，或者设置状态标识，通知验收。</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CellMar>
            <w:top w:w="0" w:type="dxa"/>
            <w:left w:w="108" w:type="dxa"/>
            <w:bottom w:w="0" w:type="dxa"/>
            <w:right w:w="108" w:type="dxa"/>
          </w:tblCellMar>
        </w:tblPrEx>
        <w:trPr>
          <w:trHeight w:val="709"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*82</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企业应当按照验收规定，对每次到货的医用氧进行逐批抽样验收。抽样的样品应当具有代表性。</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83</w:t>
            </w:r>
          </w:p>
        </w:tc>
        <w:tc>
          <w:tcPr>
            <w:tcW w:w="1500" w:type="dxa"/>
            <w:vMerge w:val="restart"/>
            <w:shd w:val="clear" w:color="auto" w:fill="auto"/>
            <w:vAlign w:val="center"/>
          </w:tcPr>
          <w:p>
            <w:pPr>
              <w:adjustRightInd w:val="0"/>
              <w:snapToGrid w:val="0"/>
              <w:jc w:val="center"/>
              <w:rPr>
                <w:rFonts w:hAnsi="仿宋" w:cs="宋体"/>
                <w:b/>
                <w:bCs/>
                <w:kern w:val="0"/>
                <w:sz w:val="24"/>
                <w:szCs w:val="24"/>
              </w:rPr>
            </w:pPr>
            <w:r>
              <w:rPr>
                <w:rFonts w:hint="eastAsia" w:hAnsi="仿宋" w:cs="宋体"/>
                <w:b/>
                <w:bCs/>
                <w:kern w:val="0"/>
                <w:sz w:val="24"/>
                <w:szCs w:val="24"/>
              </w:rPr>
              <w:t>收货与验收</w:t>
            </w: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验收人员应当对医用氧外观、包装、标签及检验合格证明文件等逐一进行检查、核对。</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84</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验收医用氧应当做好验收记录，包括医用氧的规格、批准文号、批号、生产日期、有效期、生产厂商、供货单位、到货数量、到货日期、验收合格数量、验收结果、包装容器检定效期等内容。验收人员应当在验收记录上签署姓名和验收日期。</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85</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企业应当建立库存记录，验收合格的医用氧应当及时入库登记；验收不合格的，不得入库，并由质量管理部门处理。</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86</w:t>
            </w:r>
          </w:p>
        </w:tc>
        <w:tc>
          <w:tcPr>
            <w:tcW w:w="1500" w:type="dxa"/>
            <w:vMerge w:val="restart"/>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储存与养护</w:t>
            </w: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企业应当根据药品的质量特性对医用氧进行合理储存。</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87</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气态医用氧经营企业仓储区应划分待验库（区）、合格品库（区）、发货库（区）、不合格品库（区）、退货库（区）、空瓶库（区）等专用场所。以上各库（区）均应设有明显标志，并实行色标管理或状态标识管理。</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88</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未经批准的人员不得进入储存作业区。</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89</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储存作业区内的人员不得有影响医用氧质量和安全的行为。</w:t>
            </w:r>
          </w:p>
        </w:tc>
        <w:tc>
          <w:tcPr>
            <w:tcW w:w="1276" w:type="dxa"/>
            <w:shd w:val="clear" w:color="auto" w:fill="auto"/>
            <w:vAlign w:val="center"/>
          </w:tcPr>
          <w:p>
            <w:pPr>
              <w:widowControl/>
              <w:adjustRightInd w:val="0"/>
              <w:snapToGrid w:val="0"/>
              <w:jc w:val="center"/>
              <w:rPr>
                <w:rFonts w:hAnsi="仿宋" w:cs="宋体"/>
                <w:kern w:val="0"/>
                <w:sz w:val="24"/>
                <w:szCs w:val="24"/>
                <w:u w:val="single"/>
              </w:rPr>
            </w:pPr>
          </w:p>
        </w:tc>
        <w:tc>
          <w:tcPr>
            <w:tcW w:w="1276" w:type="dxa"/>
            <w:shd w:val="clear" w:color="auto" w:fill="auto"/>
            <w:vAlign w:val="center"/>
          </w:tcPr>
          <w:p>
            <w:pPr>
              <w:widowControl/>
              <w:adjustRightInd w:val="0"/>
              <w:snapToGrid w:val="0"/>
              <w:jc w:val="center"/>
              <w:rPr>
                <w:rFonts w:hAnsi="仿宋" w:cs="宋体"/>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90</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储存作业区内不得存放、储存与医用氧管理无关的物品。</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91</w:t>
            </w:r>
          </w:p>
        </w:tc>
        <w:tc>
          <w:tcPr>
            <w:tcW w:w="1500" w:type="dxa"/>
            <w:vMerge w:val="restart"/>
            <w:shd w:val="clear" w:color="auto" w:fill="auto"/>
            <w:vAlign w:val="center"/>
          </w:tcPr>
          <w:p>
            <w:pPr>
              <w:adjustRightInd w:val="0"/>
              <w:snapToGrid w:val="0"/>
              <w:jc w:val="center"/>
              <w:rPr>
                <w:rFonts w:hAnsi="仿宋" w:cs="宋体"/>
                <w:b/>
                <w:bCs/>
                <w:kern w:val="0"/>
                <w:sz w:val="24"/>
                <w:szCs w:val="24"/>
              </w:rPr>
            </w:pPr>
            <w:r>
              <w:rPr>
                <w:rFonts w:hint="eastAsia" w:hAnsi="仿宋" w:cs="宋体"/>
                <w:b/>
                <w:bCs/>
                <w:kern w:val="0"/>
                <w:sz w:val="24"/>
                <w:szCs w:val="24"/>
              </w:rPr>
              <w:t>储存与养护</w:t>
            </w: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养护人员应当根据库房条件、外部环境、医用氧质量特性等对医用氧进行养护。</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92</w:t>
            </w:r>
          </w:p>
        </w:tc>
        <w:tc>
          <w:tcPr>
            <w:tcW w:w="1500" w:type="dxa"/>
            <w:vMerge w:val="continue"/>
            <w:shd w:val="clear" w:color="auto" w:fill="auto"/>
            <w:vAlign w:val="center"/>
          </w:tcPr>
          <w:p>
            <w:pPr>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养护人员应当指导和督促储存人员对医用氧进行合理储存与作业。</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93</w:t>
            </w:r>
          </w:p>
        </w:tc>
        <w:tc>
          <w:tcPr>
            <w:tcW w:w="1500" w:type="dxa"/>
            <w:vMerge w:val="continue"/>
            <w:shd w:val="clear" w:color="auto" w:fill="auto"/>
            <w:vAlign w:val="center"/>
          </w:tcPr>
          <w:p>
            <w:pPr>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养护人员应当检查并改善储存条件、防护措施、卫生环境。</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94</w:t>
            </w:r>
          </w:p>
        </w:tc>
        <w:tc>
          <w:tcPr>
            <w:tcW w:w="1500" w:type="dxa"/>
            <w:vMerge w:val="continue"/>
            <w:shd w:val="clear" w:color="auto" w:fill="auto"/>
            <w:vAlign w:val="center"/>
          </w:tcPr>
          <w:p>
            <w:pPr>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医用氧出现液体或气体泄漏时，应当迅速采取安全处理措施，防止对储存环境和其他医用氧造成影响。</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*95</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对质量可疑的医用氧应当立即采取停售措施，并在计算机系统中锁定，同时报告质量管理部门确认。</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96</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对存在质量问题的医用氧应当存放于标识明显的专用场所，有效隔离，不得销售。</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*97</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对不合格医用氧应当查明并分析原因，及时采取纠正预防和处理措施。不合格药品的处理过程应当有完整的手续和记录。</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CellMar>
            <w:top w:w="0" w:type="dxa"/>
            <w:left w:w="108" w:type="dxa"/>
            <w:bottom w:w="0" w:type="dxa"/>
            <w:right w:w="108" w:type="dxa"/>
          </w:tblCellMar>
        </w:tblPrEx>
        <w:trPr>
          <w:trHeight w:val="794"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98</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企业应当对库存医用氧定期盘点，做到账、货相符。</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*99</w:t>
            </w:r>
          </w:p>
        </w:tc>
        <w:tc>
          <w:tcPr>
            <w:tcW w:w="1500" w:type="dxa"/>
            <w:vMerge w:val="restart"/>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销售</w:t>
            </w: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企业应当将医用氧销售给合法的购货单位，并对购货单位的证明文件、采购人员及提货人员的身份证明进行核实，保证医用氧销售流向真实、合法。</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100</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企业应当做好医用氧销售记录，应当包括品名、规格、剂型、上市许可持有人、生产厂商、销售单位、销售地址、销售数量、销售日期、产品批号等。</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**101</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企业销售医用氧应当如实开具发票，做到票、账、货、款一致。</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102</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液态氧的销售记录还需注明储存方式（如：槽车、杜瓦罐等）；气态氧的销售记录还需标明气瓶类型以及规格（如：无缝钢瓶，40升等）。</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103</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医用氧出库时应当对照销售记录进行复核并建立记录，记录包括品名、规格、类型、生产厂商、销售单位、销售地址、销售数量、销售日期、产品批号、气瓶或杜瓦罐编号、储罐编号、槽车号、出库日期、质量状况和复核人员等内容。</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*104</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医用氧容器（气瓶、储罐、槽车等）应当专用，并有“医用氧”标识。所有标识应清晰可辨，避免容器混淆。</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*105</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医用氧出库时应当附加盖企业医用氧出库专用章原印章的随货同行单（票）。</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*106</w:t>
            </w:r>
          </w:p>
        </w:tc>
        <w:tc>
          <w:tcPr>
            <w:tcW w:w="1500" w:type="dxa"/>
            <w:vMerge w:val="restart"/>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运输管理</w:t>
            </w: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装车前应当检查车辆的启动、运行状态；发运医用氧时，发现运输条件不符合规定，不得发运。</w:t>
            </w:r>
          </w:p>
        </w:tc>
        <w:tc>
          <w:tcPr>
            <w:tcW w:w="1276" w:type="dxa"/>
            <w:shd w:val="clear" w:color="auto" w:fill="auto"/>
            <w:noWrap/>
            <w:vAlign w:val="center"/>
          </w:tcPr>
          <w:p>
            <w:pPr>
              <w:widowControl/>
              <w:adjustRightInd w:val="0"/>
              <w:snapToGrid w:val="0"/>
              <w:jc w:val="center"/>
              <w:rPr>
                <w:rFonts w:hAnsi="仿宋" w:cs="宋体"/>
                <w:kern w:val="0"/>
                <w:sz w:val="24"/>
                <w:szCs w:val="24"/>
              </w:rPr>
            </w:pPr>
          </w:p>
        </w:tc>
        <w:tc>
          <w:tcPr>
            <w:tcW w:w="1276" w:type="dxa"/>
            <w:shd w:val="clear" w:color="auto" w:fill="auto"/>
            <w:noWrap/>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107</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启运时应当做好运输记录，内容包括运输工具发货时间、发货地址、收货单位、收货地址、货单号、数量、驾驶人、押运人、车牌号等内容。</w:t>
            </w:r>
          </w:p>
        </w:tc>
        <w:tc>
          <w:tcPr>
            <w:tcW w:w="1276" w:type="dxa"/>
            <w:shd w:val="clear" w:color="auto" w:fill="auto"/>
            <w:noWrap/>
            <w:vAlign w:val="center"/>
          </w:tcPr>
          <w:p>
            <w:pPr>
              <w:widowControl/>
              <w:adjustRightInd w:val="0"/>
              <w:snapToGrid w:val="0"/>
              <w:jc w:val="center"/>
              <w:rPr>
                <w:rFonts w:hAnsi="仿宋" w:cs="宋体"/>
                <w:kern w:val="0"/>
                <w:sz w:val="24"/>
                <w:szCs w:val="24"/>
              </w:rPr>
            </w:pPr>
          </w:p>
        </w:tc>
        <w:tc>
          <w:tcPr>
            <w:tcW w:w="1276" w:type="dxa"/>
            <w:shd w:val="clear" w:color="auto" w:fill="auto"/>
            <w:noWrap/>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108</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运输途中应配备驾驶员1名，押运人员1名。</w:t>
            </w:r>
          </w:p>
        </w:tc>
        <w:tc>
          <w:tcPr>
            <w:tcW w:w="1276" w:type="dxa"/>
            <w:shd w:val="clear" w:color="auto" w:fill="auto"/>
            <w:noWrap/>
            <w:vAlign w:val="center"/>
          </w:tcPr>
          <w:p>
            <w:pPr>
              <w:widowControl/>
              <w:adjustRightInd w:val="0"/>
              <w:snapToGrid w:val="0"/>
              <w:jc w:val="center"/>
              <w:rPr>
                <w:rFonts w:hAnsi="仿宋" w:cs="宋体"/>
                <w:kern w:val="0"/>
                <w:sz w:val="24"/>
                <w:szCs w:val="24"/>
              </w:rPr>
            </w:pPr>
          </w:p>
        </w:tc>
        <w:tc>
          <w:tcPr>
            <w:tcW w:w="1276" w:type="dxa"/>
            <w:shd w:val="clear" w:color="auto" w:fill="auto"/>
            <w:noWrap/>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*109</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企业应当制定运输应急预案，对运输途中可能发生的设备故障、异常天气影响、交通拥堵等突发事件，能够采取相应的应对措施。</w:t>
            </w:r>
          </w:p>
        </w:tc>
        <w:tc>
          <w:tcPr>
            <w:tcW w:w="1276" w:type="dxa"/>
            <w:shd w:val="clear" w:color="auto" w:fill="auto"/>
            <w:noWrap/>
            <w:vAlign w:val="center"/>
          </w:tcPr>
          <w:p>
            <w:pPr>
              <w:widowControl/>
              <w:adjustRightInd w:val="0"/>
              <w:snapToGrid w:val="0"/>
              <w:jc w:val="center"/>
              <w:rPr>
                <w:rFonts w:hAnsi="仿宋" w:cs="宋体"/>
                <w:kern w:val="0"/>
                <w:sz w:val="24"/>
                <w:szCs w:val="24"/>
              </w:rPr>
            </w:pPr>
          </w:p>
        </w:tc>
        <w:tc>
          <w:tcPr>
            <w:tcW w:w="1276" w:type="dxa"/>
            <w:shd w:val="clear" w:color="auto" w:fill="auto"/>
            <w:noWrap/>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*110</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企业应具备符合医用氧特性要求的运输能力。用于运输医用氧的储存设备与运输工具应符合市场监管部门的有关规定，并取得相关合格证明文件。</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111</w:t>
            </w:r>
          </w:p>
        </w:tc>
        <w:tc>
          <w:tcPr>
            <w:tcW w:w="1500" w:type="dxa"/>
            <w:vMerge w:val="continue"/>
            <w:shd w:val="clear" w:color="auto" w:fill="auto"/>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企业应当采取运输安全管理措施，防止在运输过程中发生医用氧盗抢、遗失、调换等事故。</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112</w:t>
            </w:r>
          </w:p>
        </w:tc>
        <w:tc>
          <w:tcPr>
            <w:tcW w:w="1500" w:type="dxa"/>
            <w:vMerge w:val="restart"/>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售后管理</w:t>
            </w: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企业应当协助医用氧生产企业履行召回义务，按照召回计划的要求及时传达、反馈医用氧召回信息，控制和收回存在安全隐患的医用氧，并建立医用氧召回记录。</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21" w:type="dxa"/>
            <w:shd w:val="clear" w:color="auto" w:fill="auto"/>
            <w:vAlign w:val="center"/>
          </w:tcPr>
          <w:p>
            <w:pPr>
              <w:widowControl/>
              <w:adjustRightInd w:val="0"/>
              <w:snapToGrid w:val="0"/>
              <w:jc w:val="center"/>
              <w:rPr>
                <w:rFonts w:hAnsi="仿宋" w:cs="宋体"/>
                <w:b/>
                <w:bCs/>
                <w:kern w:val="0"/>
                <w:sz w:val="24"/>
                <w:szCs w:val="24"/>
              </w:rPr>
            </w:pPr>
            <w:r>
              <w:rPr>
                <w:rFonts w:hint="eastAsia" w:hAnsi="仿宋" w:cs="宋体"/>
                <w:b/>
                <w:bCs/>
                <w:kern w:val="0"/>
                <w:sz w:val="24"/>
                <w:szCs w:val="24"/>
              </w:rPr>
              <w:t>113</w:t>
            </w:r>
          </w:p>
        </w:tc>
        <w:tc>
          <w:tcPr>
            <w:tcW w:w="1500" w:type="dxa"/>
            <w:vMerge w:val="continue"/>
            <w:vAlign w:val="center"/>
          </w:tcPr>
          <w:p>
            <w:pPr>
              <w:widowControl/>
              <w:adjustRightInd w:val="0"/>
              <w:snapToGrid w:val="0"/>
              <w:jc w:val="center"/>
              <w:rPr>
                <w:rFonts w:hAnsi="仿宋" w:cs="宋体"/>
                <w:b/>
                <w:bCs/>
                <w:kern w:val="0"/>
                <w:sz w:val="24"/>
                <w:szCs w:val="24"/>
              </w:rPr>
            </w:pPr>
          </w:p>
        </w:tc>
        <w:tc>
          <w:tcPr>
            <w:tcW w:w="9176" w:type="dxa"/>
            <w:shd w:val="clear" w:color="auto" w:fill="auto"/>
            <w:vAlign w:val="center"/>
          </w:tcPr>
          <w:p>
            <w:pPr>
              <w:widowControl/>
              <w:adjustRightInd w:val="0"/>
              <w:snapToGrid w:val="0"/>
              <w:rPr>
                <w:rFonts w:hAnsi="仿宋" w:cs="宋体"/>
                <w:kern w:val="0"/>
                <w:sz w:val="24"/>
                <w:szCs w:val="24"/>
              </w:rPr>
            </w:pPr>
            <w:r>
              <w:rPr>
                <w:rFonts w:hint="eastAsia" w:hAnsi="仿宋" w:cs="宋体"/>
                <w:kern w:val="0"/>
                <w:sz w:val="24"/>
                <w:szCs w:val="24"/>
              </w:rPr>
              <w:t>企业质量管理部门应当配备专职或者兼职人员，按照国家有关规定承担</w:t>
            </w:r>
            <w:r>
              <w:rPr>
                <w:rFonts w:hint="eastAsia" w:ascii="宋体" w:hAnsi="宋体" w:eastAsia="宋体" w:cs="宋体"/>
                <w:kern w:val="0"/>
                <w:sz w:val="24"/>
                <w:szCs w:val="24"/>
              </w:rPr>
              <w:t> </w:t>
            </w:r>
            <w:r>
              <w:rPr>
                <w:rFonts w:hint="eastAsia" w:hAnsi="仿宋" w:cs="宋体"/>
                <w:kern w:val="0"/>
                <w:sz w:val="24"/>
                <w:szCs w:val="24"/>
              </w:rPr>
              <w:t>医用氧不良反应监测和报告工作。</w:t>
            </w:r>
          </w:p>
        </w:tc>
        <w:tc>
          <w:tcPr>
            <w:tcW w:w="1276" w:type="dxa"/>
            <w:shd w:val="clear" w:color="auto" w:fill="auto"/>
            <w:vAlign w:val="center"/>
          </w:tcPr>
          <w:p>
            <w:pPr>
              <w:widowControl/>
              <w:adjustRightInd w:val="0"/>
              <w:snapToGrid w:val="0"/>
              <w:jc w:val="center"/>
              <w:rPr>
                <w:rFonts w:hAnsi="仿宋" w:cs="宋体"/>
                <w:kern w:val="0"/>
                <w:sz w:val="24"/>
                <w:szCs w:val="24"/>
              </w:rPr>
            </w:pPr>
          </w:p>
        </w:tc>
        <w:tc>
          <w:tcPr>
            <w:tcW w:w="1276" w:type="dxa"/>
            <w:shd w:val="clear" w:color="auto" w:fill="auto"/>
            <w:vAlign w:val="center"/>
          </w:tcPr>
          <w:p>
            <w:pPr>
              <w:widowControl/>
              <w:adjustRightInd w:val="0"/>
              <w:snapToGrid w:val="0"/>
              <w:jc w:val="center"/>
              <w:rPr>
                <w:rFonts w:hAnsi="仿宋" w:cs="宋体"/>
                <w:kern w:val="0"/>
                <w:sz w:val="24"/>
                <w:szCs w:val="24"/>
              </w:rPr>
            </w:pPr>
          </w:p>
        </w:tc>
      </w:tr>
    </w:tbl>
    <w:p>
      <w:pPr>
        <w:adjustRightInd w:val="0"/>
        <w:rPr>
          <w:rFonts w:hAnsi="仿宋"/>
        </w:rPr>
        <w:sectPr>
          <w:footerReference r:id="rId3" w:type="default"/>
          <w:footerReference r:id="rId4" w:type="even"/>
          <w:pgSz w:w="16838" w:h="11906" w:orient="landscape"/>
          <w:pgMar w:top="2098" w:right="1531" w:bottom="1985" w:left="1531" w:header="851" w:footer="1531" w:gutter="0"/>
          <w:cols w:space="425" w:num="1"/>
          <w:docGrid w:linePitch="577" w:charSpace="-1683"/>
        </w:sectPr>
      </w:pPr>
      <w:bookmarkStart w:id="2" w:name="_GoBack"/>
      <w:bookmarkEnd w:id="2"/>
    </w:p>
    <w:bookmarkEnd w:id="0"/>
    <w:p>
      <w:pPr>
        <w:adjustRightInd w:val="0"/>
        <w:snapToGrid w:val="0"/>
        <w:spacing w:line="100" w:lineRule="exact"/>
        <w:rPr>
          <w:sz w:val="21"/>
          <w:szCs w:val="21"/>
        </w:rPr>
      </w:pPr>
    </w:p>
    <w:sectPr>
      <w:footerReference r:id="rId5" w:type="default"/>
      <w:footerReference r:id="rId6" w:type="even"/>
      <w:pgSz w:w="11906" w:h="16838"/>
      <w:pgMar w:top="2098" w:right="1531" w:bottom="1985" w:left="1531" w:header="851" w:footer="1531" w:gutter="0"/>
      <w:cols w:space="425" w:num="1"/>
      <w:docGrid w:linePitch="577"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adjustRightInd w:val="0"/>
      <w:ind w:left="320" w:leftChars="100" w:right="320" w:rightChars="100"/>
      <w:jc w:val="center"/>
    </w:pPr>
    <w:r>
      <w:rPr>
        <w:rFonts w:hint="eastAsia" w:ascii="宋体" w:hAnsi="宋体" w:eastAsia="宋体"/>
        <w:kern w:val="0"/>
        <w:sz w:val="28"/>
        <w:szCs w:val="28"/>
      </w:rPr>
      <w:t>—</w:t>
    </w:r>
    <w:r>
      <w:rPr>
        <w:rFonts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19</w:t>
    </w:r>
    <w:r>
      <w:rPr>
        <w:rFonts w:ascii="宋体" w:hAnsi="宋体" w:eastAsia="宋体"/>
        <w:kern w:val="0"/>
        <w:sz w:val="28"/>
        <w:szCs w:val="28"/>
      </w:rPr>
      <w:fldChar w:fldCharType="end"/>
    </w:r>
    <w:r>
      <w:rPr>
        <w:rFonts w:ascii="宋体" w:hAnsi="宋体" w:eastAsia="宋体"/>
        <w:kern w:val="0"/>
        <w:sz w:val="28"/>
        <w:szCs w:val="28"/>
      </w:rPr>
      <w:t xml:space="preserve"> </w:t>
    </w:r>
    <w:r>
      <w:rPr>
        <w:rFonts w:hint="eastAsia" w:ascii="宋体" w:hAnsi="宋体" w:eastAsia="宋体"/>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adjustRightInd w:val="0"/>
      <w:ind w:left="320" w:leftChars="100" w:right="320" w:rightChars="100"/>
      <w:jc w:val="center"/>
    </w:pPr>
    <w:r>
      <w:rPr>
        <w:rFonts w:hint="eastAsia" w:ascii="宋体" w:hAnsi="宋体" w:eastAsia="宋体"/>
        <w:kern w:val="0"/>
        <w:sz w:val="28"/>
        <w:szCs w:val="28"/>
      </w:rPr>
      <w:t>—</w:t>
    </w:r>
    <w:r>
      <w:rPr>
        <w:rFonts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18</w:t>
    </w:r>
    <w:r>
      <w:rPr>
        <w:rFonts w:ascii="宋体" w:hAnsi="宋体" w:eastAsia="宋体"/>
        <w:kern w:val="0"/>
        <w:sz w:val="28"/>
        <w:szCs w:val="28"/>
      </w:rPr>
      <w:fldChar w:fldCharType="end"/>
    </w:r>
    <w:r>
      <w:rPr>
        <w:rFonts w:ascii="宋体" w:hAnsi="宋体" w:eastAsia="宋体"/>
        <w:kern w:val="0"/>
        <w:sz w:val="28"/>
        <w:szCs w:val="28"/>
      </w:rPr>
      <w:t xml:space="preserve"> </w:t>
    </w:r>
    <w:r>
      <w:rPr>
        <w:rFonts w:hint="eastAsia" w:ascii="宋体" w:hAnsi="宋体" w:eastAsia="宋体"/>
        <w:kern w:val="0"/>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none"/>
      <w:suff w:val="nothing"/>
      <w:lvlText w:val="%1"/>
      <w:lvlJc w:val="left"/>
      <w:rPr>
        <w:rFonts w:hint="default" w:ascii="Times New Roman" w:hAnsi="Times New Roman" w:cs="Times New Roman"/>
        <w:b/>
        <w:i w:val="0"/>
        <w:sz w:val="21"/>
      </w:rPr>
    </w:lvl>
    <w:lvl w:ilvl="1" w:tentative="0">
      <w:start w:val="1"/>
      <w:numFmt w:val="decimal"/>
      <w:suff w:val="nothing"/>
      <w:lvlText w:val="%1%2　"/>
      <w:lvlJc w:val="left"/>
      <w:rPr>
        <w:rFonts w:hint="eastAsia" w:ascii="黑体" w:hAnsi="Times New Roman" w:eastAsia="黑体" w:cs="Times New Roman"/>
        <w:b w:val="0"/>
        <w:i w:val="0"/>
        <w:sz w:val="21"/>
      </w:rPr>
    </w:lvl>
    <w:lvl w:ilvl="2" w:tentative="0">
      <w:start w:val="1"/>
      <w:numFmt w:val="decimal"/>
      <w:pStyle w:val="89"/>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56"/>
  <w:drawingGridVerticalSpacing w:val="57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D7"/>
    <w:rsid w:val="00002D34"/>
    <w:rsid w:val="000120BC"/>
    <w:rsid w:val="00013F75"/>
    <w:rsid w:val="00014429"/>
    <w:rsid w:val="00015917"/>
    <w:rsid w:val="00040A5B"/>
    <w:rsid w:val="00041F44"/>
    <w:rsid w:val="0004724F"/>
    <w:rsid w:val="00050B25"/>
    <w:rsid w:val="00053A2E"/>
    <w:rsid w:val="00057CFE"/>
    <w:rsid w:val="000637D1"/>
    <w:rsid w:val="000658AA"/>
    <w:rsid w:val="0007041A"/>
    <w:rsid w:val="0007653D"/>
    <w:rsid w:val="000856E5"/>
    <w:rsid w:val="000942A5"/>
    <w:rsid w:val="00096631"/>
    <w:rsid w:val="000A5804"/>
    <w:rsid w:val="000C0A5A"/>
    <w:rsid w:val="000C0AA3"/>
    <w:rsid w:val="000C6EBB"/>
    <w:rsid w:val="000D1287"/>
    <w:rsid w:val="000D365E"/>
    <w:rsid w:val="000F097E"/>
    <w:rsid w:val="000F36B4"/>
    <w:rsid w:val="000F6E1A"/>
    <w:rsid w:val="00105593"/>
    <w:rsid w:val="0011399C"/>
    <w:rsid w:val="00122BC4"/>
    <w:rsid w:val="00124E49"/>
    <w:rsid w:val="00125B23"/>
    <w:rsid w:val="0014185F"/>
    <w:rsid w:val="00142597"/>
    <w:rsid w:val="00156522"/>
    <w:rsid w:val="0016475D"/>
    <w:rsid w:val="00167CEB"/>
    <w:rsid w:val="00171F4A"/>
    <w:rsid w:val="00177370"/>
    <w:rsid w:val="001A356E"/>
    <w:rsid w:val="001C115D"/>
    <w:rsid w:val="001C752F"/>
    <w:rsid w:val="001D00EB"/>
    <w:rsid w:val="001D6E1E"/>
    <w:rsid w:val="001E24FB"/>
    <w:rsid w:val="001F1B20"/>
    <w:rsid w:val="00205343"/>
    <w:rsid w:val="00233295"/>
    <w:rsid w:val="00240EF0"/>
    <w:rsid w:val="002467AB"/>
    <w:rsid w:val="0025188F"/>
    <w:rsid w:val="002667A0"/>
    <w:rsid w:val="00271286"/>
    <w:rsid w:val="00271ADF"/>
    <w:rsid w:val="00271C27"/>
    <w:rsid w:val="00271DA0"/>
    <w:rsid w:val="002732C2"/>
    <w:rsid w:val="002A2B49"/>
    <w:rsid w:val="002B2CDF"/>
    <w:rsid w:val="002C1E89"/>
    <w:rsid w:val="002C1F4F"/>
    <w:rsid w:val="002C2CFC"/>
    <w:rsid w:val="002C5521"/>
    <w:rsid w:val="002C5D2D"/>
    <w:rsid w:val="002D6696"/>
    <w:rsid w:val="002E1251"/>
    <w:rsid w:val="002E6E18"/>
    <w:rsid w:val="002E7779"/>
    <w:rsid w:val="003234E3"/>
    <w:rsid w:val="00327042"/>
    <w:rsid w:val="003371FF"/>
    <w:rsid w:val="00337CCC"/>
    <w:rsid w:val="00343473"/>
    <w:rsid w:val="00345A68"/>
    <w:rsid w:val="00345B3C"/>
    <w:rsid w:val="003522A1"/>
    <w:rsid w:val="003524A8"/>
    <w:rsid w:val="00357826"/>
    <w:rsid w:val="00365AD4"/>
    <w:rsid w:val="00372450"/>
    <w:rsid w:val="00381747"/>
    <w:rsid w:val="003830ED"/>
    <w:rsid w:val="003A1984"/>
    <w:rsid w:val="003A33B2"/>
    <w:rsid w:val="003B6FE3"/>
    <w:rsid w:val="003C272F"/>
    <w:rsid w:val="003D245A"/>
    <w:rsid w:val="003E3327"/>
    <w:rsid w:val="004208AE"/>
    <w:rsid w:val="004306E2"/>
    <w:rsid w:val="004334C8"/>
    <w:rsid w:val="0043462F"/>
    <w:rsid w:val="00446B3F"/>
    <w:rsid w:val="00451D1D"/>
    <w:rsid w:val="00453D76"/>
    <w:rsid w:val="00464C6A"/>
    <w:rsid w:val="00466761"/>
    <w:rsid w:val="00466B09"/>
    <w:rsid w:val="00477EA0"/>
    <w:rsid w:val="00480F7C"/>
    <w:rsid w:val="004838EA"/>
    <w:rsid w:val="00485A20"/>
    <w:rsid w:val="004929AE"/>
    <w:rsid w:val="004951E7"/>
    <w:rsid w:val="004A4AE8"/>
    <w:rsid w:val="004B431B"/>
    <w:rsid w:val="004B4A95"/>
    <w:rsid w:val="004C3740"/>
    <w:rsid w:val="004D063E"/>
    <w:rsid w:val="004E098B"/>
    <w:rsid w:val="00506520"/>
    <w:rsid w:val="005106F5"/>
    <w:rsid w:val="005112F9"/>
    <w:rsid w:val="005114BF"/>
    <w:rsid w:val="00515524"/>
    <w:rsid w:val="005162B8"/>
    <w:rsid w:val="00526500"/>
    <w:rsid w:val="00532C9B"/>
    <w:rsid w:val="00537601"/>
    <w:rsid w:val="0054233A"/>
    <w:rsid w:val="00576141"/>
    <w:rsid w:val="005913B7"/>
    <w:rsid w:val="005915C9"/>
    <w:rsid w:val="005A1BCF"/>
    <w:rsid w:val="005A1E97"/>
    <w:rsid w:val="005A40EC"/>
    <w:rsid w:val="005A72DF"/>
    <w:rsid w:val="005B2290"/>
    <w:rsid w:val="005C457C"/>
    <w:rsid w:val="005D11E8"/>
    <w:rsid w:val="005D6155"/>
    <w:rsid w:val="005F370A"/>
    <w:rsid w:val="00600A22"/>
    <w:rsid w:val="0060307D"/>
    <w:rsid w:val="00605A63"/>
    <w:rsid w:val="00607864"/>
    <w:rsid w:val="00610090"/>
    <w:rsid w:val="006105A0"/>
    <w:rsid w:val="00610BDB"/>
    <w:rsid w:val="006143EE"/>
    <w:rsid w:val="00614F35"/>
    <w:rsid w:val="006545FA"/>
    <w:rsid w:val="00667C74"/>
    <w:rsid w:val="00683F93"/>
    <w:rsid w:val="00684F98"/>
    <w:rsid w:val="006855B0"/>
    <w:rsid w:val="006A0DFF"/>
    <w:rsid w:val="006A5CAA"/>
    <w:rsid w:val="006D33A0"/>
    <w:rsid w:val="006E0D86"/>
    <w:rsid w:val="006E48EB"/>
    <w:rsid w:val="006E5F30"/>
    <w:rsid w:val="006E7E3E"/>
    <w:rsid w:val="006F174A"/>
    <w:rsid w:val="006F1A1F"/>
    <w:rsid w:val="006F4D0E"/>
    <w:rsid w:val="00702B62"/>
    <w:rsid w:val="00703F89"/>
    <w:rsid w:val="007075BB"/>
    <w:rsid w:val="0070767F"/>
    <w:rsid w:val="00711371"/>
    <w:rsid w:val="007132F3"/>
    <w:rsid w:val="00713C16"/>
    <w:rsid w:val="0071407C"/>
    <w:rsid w:val="00715278"/>
    <w:rsid w:val="00732325"/>
    <w:rsid w:val="00744D91"/>
    <w:rsid w:val="00773038"/>
    <w:rsid w:val="00773EEE"/>
    <w:rsid w:val="007764C1"/>
    <w:rsid w:val="007B250C"/>
    <w:rsid w:val="007C1694"/>
    <w:rsid w:val="007E326D"/>
    <w:rsid w:val="007E3767"/>
    <w:rsid w:val="007E66A7"/>
    <w:rsid w:val="00802C85"/>
    <w:rsid w:val="008033A4"/>
    <w:rsid w:val="00815B3E"/>
    <w:rsid w:val="00816171"/>
    <w:rsid w:val="008218B1"/>
    <w:rsid w:val="00825D78"/>
    <w:rsid w:val="00840933"/>
    <w:rsid w:val="00844D4C"/>
    <w:rsid w:val="00865E78"/>
    <w:rsid w:val="00875DCD"/>
    <w:rsid w:val="008838DC"/>
    <w:rsid w:val="00885AAA"/>
    <w:rsid w:val="008C214F"/>
    <w:rsid w:val="008C426F"/>
    <w:rsid w:val="008E372A"/>
    <w:rsid w:val="008E5BBA"/>
    <w:rsid w:val="008F6D5E"/>
    <w:rsid w:val="00904846"/>
    <w:rsid w:val="00906377"/>
    <w:rsid w:val="00907CC3"/>
    <w:rsid w:val="009158D5"/>
    <w:rsid w:val="009267BE"/>
    <w:rsid w:val="00927213"/>
    <w:rsid w:val="00935EF7"/>
    <w:rsid w:val="00945FA2"/>
    <w:rsid w:val="009562CA"/>
    <w:rsid w:val="00967DA3"/>
    <w:rsid w:val="00975AC0"/>
    <w:rsid w:val="00975C7F"/>
    <w:rsid w:val="009812F1"/>
    <w:rsid w:val="009C7DC6"/>
    <w:rsid w:val="009D635D"/>
    <w:rsid w:val="009F016C"/>
    <w:rsid w:val="00A167D1"/>
    <w:rsid w:val="00A21995"/>
    <w:rsid w:val="00A272E1"/>
    <w:rsid w:val="00A4381F"/>
    <w:rsid w:val="00A43DD5"/>
    <w:rsid w:val="00A441EA"/>
    <w:rsid w:val="00A52D86"/>
    <w:rsid w:val="00AA1BC7"/>
    <w:rsid w:val="00AB00E6"/>
    <w:rsid w:val="00AB388E"/>
    <w:rsid w:val="00AB3D19"/>
    <w:rsid w:val="00AE59D1"/>
    <w:rsid w:val="00B019BF"/>
    <w:rsid w:val="00B06B4B"/>
    <w:rsid w:val="00B06DD5"/>
    <w:rsid w:val="00B106E1"/>
    <w:rsid w:val="00B463FA"/>
    <w:rsid w:val="00B51267"/>
    <w:rsid w:val="00B5677D"/>
    <w:rsid w:val="00B6206D"/>
    <w:rsid w:val="00B7552F"/>
    <w:rsid w:val="00B8075C"/>
    <w:rsid w:val="00B80B66"/>
    <w:rsid w:val="00BC17B1"/>
    <w:rsid w:val="00BE5F17"/>
    <w:rsid w:val="00BF6AEA"/>
    <w:rsid w:val="00C123A1"/>
    <w:rsid w:val="00C14B98"/>
    <w:rsid w:val="00C15215"/>
    <w:rsid w:val="00C23338"/>
    <w:rsid w:val="00C30697"/>
    <w:rsid w:val="00C321EC"/>
    <w:rsid w:val="00C66DC2"/>
    <w:rsid w:val="00C83CD6"/>
    <w:rsid w:val="00C85DD7"/>
    <w:rsid w:val="00C874D6"/>
    <w:rsid w:val="00C97F86"/>
    <w:rsid w:val="00CA2843"/>
    <w:rsid w:val="00CA4D85"/>
    <w:rsid w:val="00CA5120"/>
    <w:rsid w:val="00CB0DF4"/>
    <w:rsid w:val="00CB49F2"/>
    <w:rsid w:val="00CB50A8"/>
    <w:rsid w:val="00CB758D"/>
    <w:rsid w:val="00CC429E"/>
    <w:rsid w:val="00CC6F0C"/>
    <w:rsid w:val="00CE5D42"/>
    <w:rsid w:val="00CF42B4"/>
    <w:rsid w:val="00D10907"/>
    <w:rsid w:val="00D12A5D"/>
    <w:rsid w:val="00D1606E"/>
    <w:rsid w:val="00D24FC7"/>
    <w:rsid w:val="00D33376"/>
    <w:rsid w:val="00D33FBD"/>
    <w:rsid w:val="00D4177C"/>
    <w:rsid w:val="00D43F09"/>
    <w:rsid w:val="00D57328"/>
    <w:rsid w:val="00D67CF4"/>
    <w:rsid w:val="00D7062B"/>
    <w:rsid w:val="00D93F78"/>
    <w:rsid w:val="00DA0E82"/>
    <w:rsid w:val="00DA3E36"/>
    <w:rsid w:val="00DA7135"/>
    <w:rsid w:val="00DB0483"/>
    <w:rsid w:val="00DC609E"/>
    <w:rsid w:val="00DD2D92"/>
    <w:rsid w:val="00DD50AD"/>
    <w:rsid w:val="00DF76AB"/>
    <w:rsid w:val="00E00D90"/>
    <w:rsid w:val="00E01767"/>
    <w:rsid w:val="00E01A4A"/>
    <w:rsid w:val="00E07DF0"/>
    <w:rsid w:val="00E12346"/>
    <w:rsid w:val="00E21DC9"/>
    <w:rsid w:val="00E25F35"/>
    <w:rsid w:val="00E402D6"/>
    <w:rsid w:val="00E470C5"/>
    <w:rsid w:val="00E47277"/>
    <w:rsid w:val="00E50092"/>
    <w:rsid w:val="00E52FB6"/>
    <w:rsid w:val="00E62AA1"/>
    <w:rsid w:val="00E77DE3"/>
    <w:rsid w:val="00E824EA"/>
    <w:rsid w:val="00E82B33"/>
    <w:rsid w:val="00E85ACB"/>
    <w:rsid w:val="00E87768"/>
    <w:rsid w:val="00E94233"/>
    <w:rsid w:val="00E9700E"/>
    <w:rsid w:val="00EA6085"/>
    <w:rsid w:val="00ED39F7"/>
    <w:rsid w:val="00F01A4D"/>
    <w:rsid w:val="00F02525"/>
    <w:rsid w:val="00F06EE9"/>
    <w:rsid w:val="00F32B58"/>
    <w:rsid w:val="00F34104"/>
    <w:rsid w:val="00F4643D"/>
    <w:rsid w:val="00F5736B"/>
    <w:rsid w:val="00F616BE"/>
    <w:rsid w:val="00F73831"/>
    <w:rsid w:val="00F751E2"/>
    <w:rsid w:val="00F90858"/>
    <w:rsid w:val="00F978FF"/>
    <w:rsid w:val="00FA2D9C"/>
    <w:rsid w:val="00FE67E1"/>
    <w:rsid w:val="287D5BDC"/>
    <w:rsid w:val="35EB6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qFormat="1" w:unhideWhenUsed="0" w:uiPriority="0" w:semiHidden="0"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Times New Roman" w:eastAsia="仿宋" w:cs="Times New Roman"/>
      <w:kern w:val="2"/>
      <w:sz w:val="32"/>
      <w:lang w:val="en-US" w:eastAsia="zh-CN" w:bidi="ar-SA"/>
    </w:rPr>
  </w:style>
  <w:style w:type="paragraph" w:styleId="3">
    <w:name w:val="heading 1"/>
    <w:basedOn w:val="1"/>
    <w:next w:val="1"/>
    <w:link w:val="30"/>
    <w:qFormat/>
    <w:uiPriority w:val="9"/>
    <w:pPr>
      <w:spacing w:before="100" w:beforeAutospacing="1" w:after="100" w:afterAutospacing="1"/>
      <w:jc w:val="left"/>
      <w:outlineLvl w:val="0"/>
    </w:pPr>
    <w:rPr>
      <w:rFonts w:hint="eastAsia" w:ascii="宋体" w:hAnsi="宋体" w:eastAsia="宋体"/>
      <w:b/>
      <w:kern w:val="44"/>
      <w:sz w:val="48"/>
      <w:szCs w:val="48"/>
    </w:rPr>
  </w:style>
  <w:style w:type="paragraph" w:styleId="4">
    <w:name w:val="heading 3"/>
    <w:basedOn w:val="1"/>
    <w:next w:val="1"/>
    <w:link w:val="33"/>
    <w:semiHidden/>
    <w:unhideWhenUsed/>
    <w:qFormat/>
    <w:uiPriority w:val="9"/>
    <w:pPr>
      <w:keepNext/>
      <w:keepLines/>
      <w:spacing w:before="260" w:after="260" w:line="416" w:lineRule="auto"/>
      <w:outlineLvl w:val="2"/>
    </w:pPr>
    <w:rPr>
      <w:b/>
      <w:bCs/>
      <w:szCs w:val="32"/>
    </w:rPr>
  </w:style>
  <w:style w:type="paragraph" w:styleId="5">
    <w:name w:val="heading 9"/>
    <w:basedOn w:val="1"/>
    <w:next w:val="1"/>
    <w:link w:val="35"/>
    <w:qFormat/>
    <w:uiPriority w:val="0"/>
    <w:pPr>
      <w:keepNext/>
      <w:keepLines/>
      <w:spacing w:before="240" w:after="64" w:line="317" w:lineRule="auto"/>
      <w:outlineLvl w:val="8"/>
    </w:pPr>
    <w:rPr>
      <w:rFonts w:ascii="Arial" w:hAnsi="Arial" w:eastAsia="黑体"/>
      <w:kern w:val="0"/>
      <w:sz w:val="21"/>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macro"/>
    <w:link w:val="81"/>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cs="Times New Roman"/>
      <w:sz w:val="24"/>
      <w:lang w:val="en-US" w:eastAsia="zh-CN" w:bidi="ar-SA"/>
    </w:rPr>
  </w:style>
  <w:style w:type="paragraph" w:styleId="6">
    <w:name w:val="Block Text"/>
    <w:basedOn w:val="1"/>
    <w:link w:val="84"/>
    <w:qFormat/>
    <w:uiPriority w:val="0"/>
    <w:pPr>
      <w:spacing w:after="120"/>
      <w:ind w:left="1440" w:leftChars="700" w:right="700" w:rightChars="700"/>
    </w:pPr>
    <w:rPr>
      <w:rFonts w:ascii="Calibri" w:hAnsi="Calibri" w:eastAsia="宋体"/>
      <w:kern w:val="0"/>
      <w:sz w:val="20"/>
      <w:szCs w:val="24"/>
    </w:rPr>
  </w:style>
  <w:style w:type="paragraph" w:styleId="7">
    <w:name w:val="Plain Text"/>
    <w:basedOn w:val="1"/>
    <w:link w:val="29"/>
    <w:unhideWhenUsed/>
    <w:qFormat/>
    <w:uiPriority w:val="0"/>
    <w:rPr>
      <w:rFonts w:ascii="宋体" w:hAnsi="Courier New" w:eastAsia="宋体" w:cs="Courier New"/>
      <w:sz w:val="21"/>
      <w:szCs w:val="21"/>
    </w:rPr>
  </w:style>
  <w:style w:type="paragraph" w:styleId="8">
    <w:name w:val="Date"/>
    <w:basedOn w:val="1"/>
    <w:next w:val="1"/>
    <w:link w:val="34"/>
    <w:unhideWhenUsed/>
    <w:qFormat/>
    <w:uiPriority w:val="0"/>
    <w:pPr>
      <w:ind w:left="100" w:leftChars="2500"/>
    </w:pPr>
  </w:style>
  <w:style w:type="paragraph" w:styleId="9">
    <w:name w:val="Balloon Text"/>
    <w:basedOn w:val="1"/>
    <w:link w:val="27"/>
    <w:unhideWhenUsed/>
    <w:qFormat/>
    <w:uiPriority w:val="99"/>
    <w:rPr>
      <w:sz w:val="18"/>
      <w:szCs w:val="18"/>
    </w:rPr>
  </w:style>
  <w:style w:type="paragraph" w:styleId="10">
    <w:name w:val="footer"/>
    <w:basedOn w:val="1"/>
    <w:link w:val="24"/>
    <w:qFormat/>
    <w:uiPriority w:val="99"/>
    <w:pPr>
      <w:tabs>
        <w:tab w:val="center" w:pos="4153"/>
        <w:tab w:val="right" w:pos="8306"/>
      </w:tabs>
      <w:snapToGrid w:val="0"/>
      <w:jc w:val="left"/>
    </w:pPr>
    <w:rPr>
      <w:rFonts w:hAnsi="Calibri"/>
      <w:sz w:val="18"/>
      <w:szCs w:val="24"/>
    </w:rPr>
  </w:style>
  <w:style w:type="paragraph" w:styleId="11">
    <w:name w:val="header"/>
    <w:basedOn w:val="1"/>
    <w:link w:val="2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hAnsi="Calibri"/>
      <w:sz w:val="18"/>
      <w:szCs w:val="24"/>
    </w:rPr>
  </w:style>
  <w:style w:type="paragraph" w:styleId="12">
    <w:name w:val="List 5"/>
    <w:basedOn w:val="1"/>
    <w:link w:val="83"/>
    <w:qFormat/>
    <w:uiPriority w:val="0"/>
    <w:pPr>
      <w:ind w:left="100" w:leftChars="800" w:hanging="200" w:hangingChars="200"/>
    </w:pPr>
    <w:rPr>
      <w:rFonts w:ascii="Calibri" w:hAnsi="Calibri" w:eastAsia="宋体"/>
      <w:kern w:val="0"/>
      <w:sz w:val="20"/>
      <w:szCs w:val="24"/>
    </w:rPr>
  </w:style>
  <w:style w:type="paragraph" w:styleId="13">
    <w:name w:val="HTML Preformatted"/>
    <w:basedOn w:val="1"/>
    <w:link w:val="53"/>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next w:val="1"/>
    <w:link w:val="31"/>
    <w:qFormat/>
    <w:uiPriority w:val="0"/>
    <w:pPr>
      <w:spacing w:before="240" w:after="60"/>
      <w:jc w:val="center"/>
      <w:outlineLvl w:val="0"/>
    </w:pPr>
    <w:rPr>
      <w:rFonts w:ascii="Cambria" w:hAnsi="Cambria" w:eastAsia="宋体"/>
      <w:b/>
      <w:bCs/>
      <w:szCs w:val="32"/>
    </w:rPr>
  </w:style>
  <w:style w:type="table" w:styleId="17">
    <w:name w:val="Table Grid"/>
    <w:basedOn w:val="16"/>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22"/>
    <w:rPr>
      <w:b/>
      <w:bCs/>
    </w:rPr>
  </w:style>
  <w:style w:type="character" w:styleId="20">
    <w:name w:val="page number"/>
    <w:qFormat/>
    <w:uiPriority w:val="0"/>
    <w:rPr>
      <w:rFonts w:ascii="Times New Roman" w:hAnsi="Times New Roman" w:eastAsia="宋体"/>
      <w:sz w:val="18"/>
    </w:rPr>
  </w:style>
  <w:style w:type="character" w:styleId="21">
    <w:name w:val="FollowedHyperlink"/>
    <w:unhideWhenUsed/>
    <w:qFormat/>
    <w:uiPriority w:val="99"/>
    <w:rPr>
      <w:color w:val="800080"/>
      <w:u w:val="single"/>
    </w:rPr>
  </w:style>
  <w:style w:type="character" w:styleId="22">
    <w:name w:val="Emphasis"/>
    <w:qFormat/>
    <w:uiPriority w:val="20"/>
    <w:rPr>
      <w:i/>
      <w:iCs/>
    </w:rPr>
  </w:style>
  <w:style w:type="character" w:styleId="23">
    <w:name w:val="Hyperlink"/>
    <w:unhideWhenUsed/>
    <w:qFormat/>
    <w:uiPriority w:val="99"/>
    <w:rPr>
      <w:color w:val="0000FF"/>
      <w:u w:val="single"/>
    </w:rPr>
  </w:style>
  <w:style w:type="character" w:customStyle="1" w:styleId="24">
    <w:name w:val="页脚 Char"/>
    <w:link w:val="10"/>
    <w:qFormat/>
    <w:uiPriority w:val="99"/>
    <w:rPr>
      <w:rFonts w:ascii="仿宋" w:eastAsia="仿宋"/>
      <w:sz w:val="18"/>
      <w:szCs w:val="24"/>
    </w:rPr>
  </w:style>
  <w:style w:type="character" w:customStyle="1" w:styleId="25">
    <w:name w:val="页眉 Char"/>
    <w:link w:val="11"/>
    <w:qFormat/>
    <w:uiPriority w:val="99"/>
    <w:rPr>
      <w:rFonts w:ascii="仿宋" w:eastAsia="仿宋"/>
      <w:sz w:val="18"/>
      <w:szCs w:val="24"/>
    </w:rPr>
  </w:style>
  <w:style w:type="paragraph" w:customStyle="1" w:styleId="26">
    <w:name w:val="列出段落3"/>
    <w:basedOn w:val="1"/>
    <w:unhideWhenUsed/>
    <w:qFormat/>
    <w:uiPriority w:val="99"/>
    <w:pPr>
      <w:ind w:firstLine="420" w:firstLineChars="200"/>
    </w:pPr>
    <w:rPr>
      <w:rFonts w:ascii="Calibri" w:hAnsi="Calibri" w:eastAsia="宋体" w:cs="宋体"/>
      <w:szCs w:val="24"/>
    </w:rPr>
  </w:style>
  <w:style w:type="character" w:customStyle="1" w:styleId="27">
    <w:name w:val="批注框文本 Char"/>
    <w:link w:val="9"/>
    <w:qFormat/>
    <w:uiPriority w:val="99"/>
    <w:rPr>
      <w:rFonts w:ascii="Times New Roman" w:hAnsi="Times New Roman" w:eastAsia="仿宋_GB2312" w:cs="Times New Roman"/>
      <w:sz w:val="18"/>
      <w:szCs w:val="18"/>
    </w:rPr>
  </w:style>
  <w:style w:type="paragraph" w:styleId="28">
    <w:name w:val="List Paragraph"/>
    <w:basedOn w:val="1"/>
    <w:qFormat/>
    <w:uiPriority w:val="0"/>
    <w:pPr>
      <w:ind w:firstLine="420" w:firstLineChars="200"/>
    </w:pPr>
    <w:rPr>
      <w:rFonts w:asciiTheme="minorHAnsi" w:hAnsiTheme="minorHAnsi" w:eastAsiaTheme="minorEastAsia" w:cstheme="minorBidi"/>
      <w:sz w:val="21"/>
      <w:szCs w:val="22"/>
    </w:rPr>
  </w:style>
  <w:style w:type="character" w:customStyle="1" w:styleId="29">
    <w:name w:val="纯文本 Char"/>
    <w:basedOn w:val="18"/>
    <w:link w:val="7"/>
    <w:qFormat/>
    <w:uiPriority w:val="0"/>
    <w:rPr>
      <w:rFonts w:ascii="宋体" w:hAnsi="Courier New" w:cs="Courier New"/>
      <w:kern w:val="2"/>
      <w:sz w:val="21"/>
      <w:szCs w:val="21"/>
    </w:rPr>
  </w:style>
  <w:style w:type="character" w:customStyle="1" w:styleId="30">
    <w:name w:val="标题 1 Char"/>
    <w:basedOn w:val="18"/>
    <w:link w:val="3"/>
    <w:uiPriority w:val="9"/>
    <w:rPr>
      <w:rFonts w:ascii="宋体" w:hAnsi="宋体"/>
      <w:b/>
      <w:kern w:val="44"/>
      <w:sz w:val="48"/>
      <w:szCs w:val="48"/>
    </w:rPr>
  </w:style>
  <w:style w:type="character" w:customStyle="1" w:styleId="31">
    <w:name w:val="标题 Char"/>
    <w:basedOn w:val="18"/>
    <w:link w:val="15"/>
    <w:qFormat/>
    <w:uiPriority w:val="0"/>
    <w:rPr>
      <w:rFonts w:ascii="Cambria" w:hAnsi="Cambria"/>
      <w:b/>
      <w:bCs/>
      <w:kern w:val="2"/>
      <w:sz w:val="32"/>
      <w:szCs w:val="32"/>
    </w:rPr>
  </w:style>
  <w:style w:type="character" w:customStyle="1" w:styleId="32">
    <w:name w:val="smallfont1"/>
    <w:qFormat/>
    <w:uiPriority w:val="0"/>
    <w:rPr>
      <w:rFonts w:ascii="Times New Roman" w:hAnsi="Times New Roman" w:eastAsia="宋体" w:cs="Times New Roman"/>
      <w:sz w:val="18"/>
      <w:szCs w:val="18"/>
    </w:rPr>
  </w:style>
  <w:style w:type="character" w:customStyle="1" w:styleId="33">
    <w:name w:val="标题 3 Char"/>
    <w:basedOn w:val="18"/>
    <w:link w:val="4"/>
    <w:semiHidden/>
    <w:qFormat/>
    <w:uiPriority w:val="9"/>
    <w:rPr>
      <w:rFonts w:ascii="仿宋" w:hAnsi="Times New Roman" w:eastAsia="仿宋"/>
      <w:b/>
      <w:bCs/>
      <w:kern w:val="2"/>
      <w:sz w:val="32"/>
      <w:szCs w:val="32"/>
    </w:rPr>
  </w:style>
  <w:style w:type="character" w:customStyle="1" w:styleId="34">
    <w:name w:val="日期 Char"/>
    <w:basedOn w:val="18"/>
    <w:link w:val="8"/>
    <w:qFormat/>
    <w:uiPriority w:val="0"/>
    <w:rPr>
      <w:rFonts w:ascii="仿宋" w:hAnsi="Times New Roman" w:eastAsia="仿宋"/>
      <w:kern w:val="2"/>
      <w:sz w:val="32"/>
    </w:rPr>
  </w:style>
  <w:style w:type="character" w:customStyle="1" w:styleId="35">
    <w:name w:val="标题 9 Char"/>
    <w:basedOn w:val="18"/>
    <w:link w:val="5"/>
    <w:uiPriority w:val="0"/>
    <w:rPr>
      <w:rFonts w:ascii="Arial" w:hAnsi="Arial" w:eastAsia="黑体"/>
      <w:sz w:val="21"/>
    </w:rPr>
  </w:style>
  <w:style w:type="paragraph" w:customStyle="1" w:styleId="36">
    <w:name w:val="xl244"/>
    <w:basedOn w:val="1"/>
    <w:uiPriority w:val="99"/>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37">
    <w:name w:val="xl24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38">
    <w:name w:val="xl247"/>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18"/>
      <w:szCs w:val="18"/>
    </w:rPr>
  </w:style>
  <w:style w:type="paragraph" w:customStyle="1" w:styleId="39">
    <w:name w:val="xl24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18"/>
      <w:szCs w:val="18"/>
    </w:rPr>
  </w:style>
  <w:style w:type="paragraph" w:customStyle="1" w:styleId="40">
    <w:name w:val="xl24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41">
    <w:name w:val="xl250"/>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42">
    <w:name w:val="xl25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43">
    <w:name w:val="xl252"/>
    <w:basedOn w:val="1"/>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44">
    <w:name w:val="xl25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45">
    <w:name w:val="xl25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18"/>
      <w:szCs w:val="18"/>
    </w:rPr>
  </w:style>
  <w:style w:type="paragraph" w:customStyle="1" w:styleId="46">
    <w:name w:val="xl255"/>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18"/>
      <w:szCs w:val="18"/>
    </w:rPr>
  </w:style>
  <w:style w:type="paragraph" w:customStyle="1" w:styleId="47">
    <w:name w:val="xl245"/>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48">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9">
    <w:name w:val="xl243"/>
    <w:basedOn w:val="1"/>
    <w:qFormat/>
    <w:uiPriority w:val="99"/>
    <w:pPr>
      <w:widowControl/>
      <w:spacing w:before="100" w:beforeAutospacing="1" w:after="100" w:afterAutospacing="1"/>
      <w:jc w:val="center"/>
      <w:textAlignment w:val="center"/>
    </w:pPr>
    <w:rPr>
      <w:rFonts w:ascii="宋体" w:hAnsi="宋体" w:eastAsia="宋体" w:cs="宋体"/>
      <w:kern w:val="0"/>
      <w:sz w:val="24"/>
      <w:szCs w:val="24"/>
    </w:rPr>
  </w:style>
  <w:style w:type="character" w:customStyle="1" w:styleId="50">
    <w:name w:val="页脚 Char1"/>
    <w:qFormat/>
    <w:locked/>
    <w:uiPriority w:val="99"/>
    <w:rPr>
      <w:rFonts w:ascii="Times New Roman" w:hAnsi="Times New Roman" w:eastAsia="方正仿宋简体" w:cs="Times New Roman"/>
      <w:sz w:val="18"/>
    </w:rPr>
  </w:style>
  <w:style w:type="character" w:customStyle="1" w:styleId="51">
    <w:name w:val="页眉 Char1"/>
    <w:qFormat/>
    <w:locked/>
    <w:uiPriority w:val="99"/>
    <w:rPr>
      <w:rFonts w:cs="Times New Roman"/>
      <w:sz w:val="18"/>
    </w:rPr>
  </w:style>
  <w:style w:type="character" w:customStyle="1" w:styleId="52">
    <w:name w:val="批注框文本 Char1"/>
    <w:semiHidden/>
    <w:qFormat/>
    <w:locked/>
    <w:uiPriority w:val="99"/>
    <w:rPr>
      <w:rFonts w:cs="Times New Roman"/>
      <w:sz w:val="18"/>
    </w:rPr>
  </w:style>
  <w:style w:type="character" w:customStyle="1" w:styleId="53">
    <w:name w:val="HTML 预设格式 Char"/>
    <w:basedOn w:val="18"/>
    <w:link w:val="13"/>
    <w:qFormat/>
    <w:uiPriority w:val="99"/>
    <w:rPr>
      <w:rFonts w:ascii="宋体" w:hAnsi="宋体" w:cs="宋体"/>
      <w:sz w:val="24"/>
      <w:szCs w:val="24"/>
    </w:rPr>
  </w:style>
  <w:style w:type="paragraph" w:customStyle="1" w:styleId="54">
    <w:name w:val="列出段落1"/>
    <w:basedOn w:val="1"/>
    <w:qFormat/>
    <w:uiPriority w:val="0"/>
    <w:pPr>
      <w:ind w:firstLine="420" w:firstLineChars="200"/>
    </w:pPr>
    <w:rPr>
      <w:rFonts w:ascii="Calibri" w:hAnsi="Calibri" w:eastAsia="宋体" w:cs="黑体"/>
      <w:sz w:val="21"/>
      <w:szCs w:val="22"/>
    </w:rPr>
  </w:style>
  <w:style w:type="paragraph" w:customStyle="1" w:styleId="55">
    <w:name w:val="列出段落1 + 仿宋"/>
    <w:basedOn w:val="54"/>
    <w:qFormat/>
    <w:uiPriority w:val="99"/>
    <w:pPr>
      <w:spacing w:line="540" w:lineRule="exact"/>
      <w:ind w:firstLine="0" w:firstLineChars="0"/>
    </w:pPr>
    <w:rPr>
      <w:rFonts w:ascii="仿宋" w:hAnsi="仿宋" w:eastAsia="仿宋"/>
      <w:sz w:val="24"/>
      <w:szCs w:val="24"/>
    </w:rPr>
  </w:style>
  <w:style w:type="character" w:customStyle="1" w:styleId="56">
    <w:name w:val="font31"/>
    <w:qFormat/>
    <w:uiPriority w:val="0"/>
    <w:rPr>
      <w:rFonts w:hint="eastAsia" w:ascii="宋体" w:hAnsi="宋体" w:eastAsia="宋体" w:cs="宋体"/>
      <w:color w:val="000000"/>
      <w:sz w:val="22"/>
      <w:szCs w:val="22"/>
      <w:u w:val="none"/>
    </w:rPr>
  </w:style>
  <w:style w:type="character" w:customStyle="1" w:styleId="57">
    <w:name w:val="font41"/>
    <w:qFormat/>
    <w:uiPriority w:val="0"/>
    <w:rPr>
      <w:rFonts w:hint="eastAsia" w:ascii="宋体" w:hAnsi="宋体" w:eastAsia="宋体" w:cs="宋体"/>
      <w:color w:val="000000"/>
      <w:sz w:val="22"/>
      <w:szCs w:val="22"/>
      <w:u w:val="none"/>
      <w:vertAlign w:val="superscript"/>
    </w:rPr>
  </w:style>
  <w:style w:type="character" w:customStyle="1" w:styleId="58">
    <w:name w:val="font01"/>
    <w:qFormat/>
    <w:uiPriority w:val="0"/>
    <w:rPr>
      <w:rFonts w:hint="eastAsia" w:ascii="宋体" w:hAnsi="宋体" w:eastAsia="宋体" w:cs="宋体"/>
      <w:color w:val="000000"/>
      <w:sz w:val="18"/>
      <w:szCs w:val="18"/>
      <w:u w:val="none"/>
    </w:rPr>
  </w:style>
  <w:style w:type="character" w:customStyle="1" w:styleId="59">
    <w:name w:val="font61"/>
    <w:qFormat/>
    <w:uiPriority w:val="0"/>
    <w:rPr>
      <w:rFonts w:hint="eastAsia" w:ascii="宋体" w:hAnsi="宋体" w:eastAsia="宋体" w:cs="宋体"/>
      <w:color w:val="000000"/>
      <w:sz w:val="22"/>
      <w:szCs w:val="22"/>
      <w:u w:val="none"/>
    </w:rPr>
  </w:style>
  <w:style w:type="character" w:customStyle="1" w:styleId="60">
    <w:name w:val="Intense Emphasis"/>
    <w:qFormat/>
    <w:uiPriority w:val="21"/>
    <w:rPr>
      <w:b/>
      <w:bCs/>
      <w:i/>
      <w:iCs/>
      <w:color w:val="4F81BD"/>
    </w:rPr>
  </w:style>
  <w:style w:type="paragraph" w:customStyle="1" w:styleId="61">
    <w:name w:val="xl69"/>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62">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63">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6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6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66">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67">
    <w:name w:val="font7"/>
    <w:basedOn w:val="1"/>
    <w:qFormat/>
    <w:uiPriority w:val="0"/>
    <w:pPr>
      <w:widowControl/>
      <w:spacing w:before="100" w:beforeAutospacing="1" w:after="100" w:afterAutospacing="1"/>
      <w:jc w:val="left"/>
    </w:pPr>
    <w:rPr>
      <w:rFonts w:ascii="宋体" w:hAnsi="宋体" w:eastAsia="宋体" w:cs="宋体"/>
      <w:kern w:val="0"/>
      <w:sz w:val="22"/>
      <w:szCs w:val="22"/>
    </w:rPr>
  </w:style>
  <w:style w:type="paragraph" w:customStyle="1" w:styleId="68">
    <w:name w:val="font8"/>
    <w:basedOn w:val="1"/>
    <w:qFormat/>
    <w:uiPriority w:val="0"/>
    <w:pPr>
      <w:widowControl/>
      <w:spacing w:before="100" w:beforeAutospacing="1" w:after="100" w:afterAutospacing="1"/>
      <w:jc w:val="left"/>
    </w:pPr>
    <w:rPr>
      <w:rFonts w:ascii="Times New Roman" w:eastAsia="宋体"/>
      <w:kern w:val="0"/>
      <w:sz w:val="22"/>
      <w:szCs w:val="22"/>
    </w:rPr>
  </w:style>
  <w:style w:type="paragraph" w:customStyle="1" w:styleId="6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70">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7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7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7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7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24"/>
      <w:szCs w:val="24"/>
    </w:rPr>
  </w:style>
  <w:style w:type="paragraph" w:customStyle="1" w:styleId="7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76">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77">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C7EDCC"/>
      <w:spacing w:before="100" w:beforeAutospacing="1" w:after="100" w:afterAutospacing="1"/>
      <w:jc w:val="left"/>
      <w:textAlignment w:val="center"/>
    </w:pPr>
    <w:rPr>
      <w:rFonts w:ascii="宋体" w:hAnsi="宋体" w:eastAsia="宋体" w:cs="宋体"/>
      <w:kern w:val="0"/>
      <w:sz w:val="24"/>
      <w:szCs w:val="24"/>
    </w:rPr>
  </w:style>
  <w:style w:type="paragraph" w:customStyle="1" w:styleId="7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7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4"/>
      <w:szCs w:val="24"/>
    </w:rPr>
  </w:style>
  <w:style w:type="character" w:customStyle="1" w:styleId="80">
    <w:name w:val="15"/>
    <w:qFormat/>
    <w:uiPriority w:val="0"/>
    <w:rPr>
      <w:rFonts w:ascii="Times New Roman" w:hAnsi="Times New Roman"/>
      <w:sz w:val="20"/>
    </w:rPr>
  </w:style>
  <w:style w:type="character" w:customStyle="1" w:styleId="81">
    <w:name w:val="宏文本 Char"/>
    <w:link w:val="2"/>
    <w:qFormat/>
    <w:locked/>
    <w:uiPriority w:val="0"/>
    <w:rPr>
      <w:rFonts w:ascii="Courier New" w:hAnsi="Courier New" w:eastAsia="Times New Roman"/>
      <w:sz w:val="24"/>
    </w:rPr>
  </w:style>
  <w:style w:type="character" w:customStyle="1" w:styleId="82">
    <w:name w:val="宏文本 Char1"/>
    <w:basedOn w:val="18"/>
    <w:qFormat/>
    <w:uiPriority w:val="0"/>
    <w:rPr>
      <w:rFonts w:ascii="Courier New" w:hAnsi="Courier New" w:cs="Courier New"/>
      <w:kern w:val="2"/>
      <w:sz w:val="24"/>
      <w:szCs w:val="24"/>
    </w:rPr>
  </w:style>
  <w:style w:type="character" w:customStyle="1" w:styleId="83">
    <w:name w:val="列表 5 Char"/>
    <w:link w:val="12"/>
    <w:qFormat/>
    <w:locked/>
    <w:uiPriority w:val="0"/>
    <w:rPr>
      <w:szCs w:val="24"/>
    </w:rPr>
  </w:style>
  <w:style w:type="character" w:customStyle="1" w:styleId="84">
    <w:name w:val="文本块 Char"/>
    <w:link w:val="6"/>
    <w:qFormat/>
    <w:locked/>
    <w:uiPriority w:val="0"/>
    <w:rPr>
      <w:szCs w:val="24"/>
    </w:rPr>
  </w:style>
  <w:style w:type="paragraph" w:customStyle="1" w:styleId="85">
    <w:name w:val="p0"/>
    <w:basedOn w:val="1"/>
    <w:qFormat/>
    <w:uiPriority w:val="0"/>
    <w:pPr>
      <w:widowControl/>
    </w:pPr>
    <w:rPr>
      <w:rFonts w:ascii="Times New Roman" w:eastAsia="宋体"/>
      <w:kern w:val="0"/>
      <w:sz w:val="21"/>
      <w:szCs w:val="21"/>
    </w:rPr>
  </w:style>
  <w:style w:type="paragraph" w:customStyle="1" w:styleId="86">
    <w:name w:val="列出段落2"/>
    <w:basedOn w:val="1"/>
    <w:qFormat/>
    <w:uiPriority w:val="0"/>
    <w:pPr>
      <w:ind w:firstLine="420" w:firstLineChars="200"/>
    </w:pPr>
    <w:rPr>
      <w:rFonts w:ascii="Times New Roman" w:eastAsia="宋体"/>
      <w:sz w:val="21"/>
    </w:rPr>
  </w:style>
  <w:style w:type="paragraph" w:customStyle="1" w:styleId="87">
    <w:name w:val="正文2"/>
    <w:basedOn w:val="1"/>
    <w:qFormat/>
    <w:uiPriority w:val="0"/>
    <w:pPr>
      <w:widowControl/>
      <w:ind w:firstLine="567"/>
      <w:jc w:val="left"/>
    </w:pPr>
    <w:rPr>
      <w:rFonts w:ascii="楷体_GB2312" w:eastAsia="楷体_GB2312"/>
      <w:kern w:val="0"/>
      <w:sz w:val="28"/>
    </w:rPr>
  </w:style>
  <w:style w:type="paragraph" w:customStyle="1" w:styleId="88">
    <w:name w:val="1样式1"/>
    <w:basedOn w:val="1"/>
    <w:qFormat/>
    <w:uiPriority w:val="0"/>
    <w:rPr>
      <w:rFonts w:ascii="Times New Roman" w:eastAsia="宋体"/>
      <w:sz w:val="21"/>
      <w:szCs w:val="24"/>
    </w:rPr>
  </w:style>
  <w:style w:type="paragraph" w:customStyle="1" w:styleId="89">
    <w:name w:val="一级条标题"/>
    <w:next w:val="90"/>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9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91">
    <w:name w:val="标准书脚_奇数页"/>
    <w:qFormat/>
    <w:uiPriority w:val="0"/>
    <w:pPr>
      <w:spacing w:before="120"/>
      <w:jc w:val="right"/>
    </w:pPr>
    <w:rPr>
      <w:rFonts w:ascii="Times New Roman" w:hAnsi="Times New Roman" w:eastAsia="宋体" w:cs="Times New Roman"/>
      <w:sz w:val="18"/>
      <w:lang w:val="en-US" w:eastAsia="zh-CN" w:bidi="ar-SA"/>
    </w:rPr>
  </w:style>
  <w:style w:type="table" w:customStyle="1" w:styleId="92">
    <w:name w:val="网格型1"/>
    <w:basedOn w:val="16"/>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3">
    <w:name w:val="Char Char2"/>
    <w:qFormat/>
    <w:uiPriority w:val="0"/>
    <w:rPr>
      <w:rFonts w:eastAsia="宋体"/>
      <w:kern w:val="2"/>
      <w:sz w:val="21"/>
      <w:szCs w:val="24"/>
      <w:lang w:val="en-US" w:eastAsia="zh-CN" w:bidi="ar-SA"/>
    </w:rPr>
  </w:style>
  <w:style w:type="character" w:customStyle="1" w:styleId="94">
    <w:name w:val="Char Char3"/>
    <w:qFormat/>
    <w:uiPriority w:val="0"/>
    <w:rPr>
      <w:rFonts w:eastAsia="宋体"/>
      <w:kern w:val="2"/>
      <w:sz w:val="21"/>
      <w:szCs w:val="24"/>
      <w:lang w:val="en-US" w:eastAsia="zh-CN" w:bidi="ar-SA"/>
    </w:rPr>
  </w:style>
  <w:style w:type="character" w:customStyle="1" w:styleId="95">
    <w:name w:val="Char Char1"/>
    <w:qFormat/>
    <w:uiPriority w:val="0"/>
    <w:rPr>
      <w:rFonts w:ascii="Courier New" w:hAnsi="Courier New"/>
      <w:kern w:val="2"/>
      <w:sz w:val="24"/>
      <w:lang w:val="en-US" w:eastAsia="zh-CN" w:bidi="ar-SA"/>
    </w:rPr>
  </w:style>
  <w:style w:type="character" w:customStyle="1" w:styleId="96">
    <w:name w:val="Char Char4"/>
    <w:qFormat/>
    <w:uiPriority w:val="0"/>
    <w:rPr>
      <w:rFonts w:ascii="Arial" w:hAnsi="Arial" w:eastAsia="黑体"/>
      <w:sz w:val="21"/>
      <w:lang w:val="zh-CN" w:eastAsia="zh-CN" w:bidi="ar-SA"/>
    </w:rPr>
  </w:style>
  <w:style w:type="paragraph" w:customStyle="1" w:styleId="97">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8">
    <w:name w:val="Body text|1"/>
    <w:basedOn w:val="1"/>
    <w:qFormat/>
    <w:uiPriority w:val="0"/>
    <w:pPr>
      <w:spacing w:line="422" w:lineRule="auto"/>
      <w:ind w:firstLine="400"/>
    </w:pPr>
    <w:rPr>
      <w:rFonts w:ascii="宋体" w:hAnsi="宋体" w:eastAsia="宋体" w:cs="宋体"/>
      <w:sz w:val="30"/>
      <w:szCs w:val="30"/>
      <w:lang w:val="zh-TW" w:eastAsia="zh-TW" w:bidi="zh-TW"/>
    </w:rPr>
  </w:style>
  <w:style w:type="character" w:customStyle="1" w:styleId="99">
    <w:name w:val="apple-converted-space"/>
    <w:basedOn w:val="18"/>
    <w:qFormat/>
    <w:uiPriority w:val="0"/>
  </w:style>
  <w:style w:type="paragraph" w:customStyle="1" w:styleId="100">
    <w:name w:val="xl80"/>
    <w:basedOn w:val="1"/>
    <w:qFormat/>
    <w:uiPriority w:val="0"/>
    <w:pPr>
      <w:widowControl/>
      <w:pBdr>
        <w:bottom w:val="single" w:color="auto" w:sz="4" w:space="0"/>
        <w:right w:val="single" w:color="auto" w:sz="4" w:space="0"/>
      </w:pBdr>
      <w:spacing w:before="100" w:beforeAutospacing="1" w:after="100" w:afterAutospacing="1"/>
      <w:textAlignment w:val="center"/>
    </w:pPr>
    <w:rPr>
      <w:rFonts w:hAnsi="仿宋" w:cs="宋体"/>
      <w:kern w:val="0"/>
      <w:sz w:val="24"/>
      <w:szCs w:val="24"/>
    </w:rPr>
  </w:style>
  <w:style w:type="paragraph" w:customStyle="1" w:styleId="10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仿宋" w:cs="宋体"/>
      <w:kern w:val="0"/>
      <w:sz w:val="24"/>
      <w:szCs w:val="24"/>
    </w:rPr>
  </w:style>
  <w:style w:type="paragraph" w:customStyle="1" w:styleId="102">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textAlignment w:val="center"/>
    </w:pPr>
    <w:rPr>
      <w:rFonts w:hAnsi="仿宋" w:cs="宋体"/>
      <w:kern w:val="0"/>
      <w:sz w:val="24"/>
      <w:szCs w:val="24"/>
    </w:rPr>
  </w:style>
  <w:style w:type="paragraph" w:customStyle="1" w:styleId="103">
    <w:name w:val="xl83"/>
    <w:basedOn w:val="1"/>
    <w:qFormat/>
    <w:uiPriority w:val="0"/>
    <w:pPr>
      <w:widowControl/>
      <w:pBdr>
        <w:left w:val="single" w:color="auto" w:sz="4" w:space="0"/>
        <w:right w:val="single" w:color="auto" w:sz="4" w:space="0"/>
      </w:pBdr>
      <w:spacing w:before="100" w:beforeAutospacing="1" w:after="100" w:afterAutospacing="1"/>
      <w:textAlignment w:val="center"/>
    </w:pPr>
    <w:rPr>
      <w:rFonts w:hAnsi="仿宋" w:cs="宋体"/>
      <w:kern w:val="0"/>
      <w:sz w:val="24"/>
      <w:szCs w:val="24"/>
    </w:rPr>
  </w:style>
  <w:style w:type="paragraph" w:customStyle="1" w:styleId="104">
    <w:name w:val="xl8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hAnsi="仿宋" w:cs="宋体"/>
      <w:kern w:val="0"/>
      <w:sz w:val="24"/>
      <w:szCs w:val="24"/>
    </w:rPr>
  </w:style>
  <w:style w:type="paragraph" w:customStyle="1" w:styleId="105">
    <w:name w:val="xl85"/>
    <w:basedOn w:val="1"/>
    <w:qFormat/>
    <w:uiPriority w:val="0"/>
    <w:pPr>
      <w:widowControl/>
      <w:pBdr>
        <w:left w:val="single" w:color="auto" w:sz="4" w:space="0"/>
      </w:pBdr>
      <w:spacing w:before="100" w:beforeAutospacing="1" w:after="100" w:afterAutospacing="1"/>
      <w:textAlignment w:val="center"/>
    </w:pPr>
    <w:rPr>
      <w:rFonts w:hAnsi="仿宋" w:cs="宋体"/>
      <w:kern w:val="0"/>
      <w:sz w:val="24"/>
      <w:szCs w:val="24"/>
    </w:rPr>
  </w:style>
  <w:style w:type="paragraph" w:customStyle="1" w:styleId="106">
    <w:name w:val="xl86"/>
    <w:basedOn w:val="1"/>
    <w:qFormat/>
    <w:uiPriority w:val="0"/>
    <w:pPr>
      <w:widowControl/>
      <w:pBdr>
        <w:left w:val="single" w:color="auto" w:sz="4" w:space="0"/>
        <w:right w:val="single" w:color="auto" w:sz="4" w:space="0"/>
      </w:pBdr>
      <w:spacing w:before="100" w:beforeAutospacing="1" w:after="100" w:afterAutospacing="1"/>
      <w:textAlignment w:val="center"/>
    </w:pPr>
    <w:rPr>
      <w:rFonts w:hAnsi="仿宋" w:cs="宋体"/>
      <w:b/>
      <w:bCs/>
      <w:kern w:val="0"/>
      <w:sz w:val="24"/>
      <w:szCs w:val="24"/>
    </w:rPr>
  </w:style>
  <w:style w:type="paragraph" w:customStyle="1" w:styleId="10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08">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仿宋" w:cs="宋体"/>
      <w:kern w:val="0"/>
      <w:sz w:val="24"/>
      <w:szCs w:val="24"/>
      <w:u w:val="single"/>
    </w:rPr>
  </w:style>
  <w:style w:type="paragraph" w:customStyle="1" w:styleId="109">
    <w:name w:val="xl8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Ansi="仿宋" w:cs="宋体"/>
      <w:kern w:val="0"/>
      <w:sz w:val="24"/>
      <w:szCs w:val="24"/>
    </w:rPr>
  </w:style>
  <w:style w:type="paragraph" w:customStyle="1" w:styleId="110">
    <w:name w:val="xl9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仿宋" w:cs="宋体"/>
      <w:kern w:val="0"/>
      <w:sz w:val="24"/>
      <w:szCs w:val="24"/>
    </w:rPr>
  </w:style>
  <w:style w:type="paragraph" w:customStyle="1" w:styleId="111">
    <w:name w:val="xl91"/>
    <w:basedOn w:val="1"/>
    <w:qFormat/>
    <w:uiPriority w:val="0"/>
    <w:pPr>
      <w:widowControl/>
      <w:spacing w:before="100" w:beforeAutospacing="1" w:after="100" w:afterAutospacing="1"/>
      <w:jc w:val="center"/>
    </w:pPr>
    <w:rPr>
      <w:rFonts w:ascii="宋体" w:hAnsi="宋体" w:eastAsia="宋体" w:cs="宋体"/>
      <w:b/>
      <w:bCs/>
      <w:kern w:val="0"/>
      <w:sz w:val="24"/>
      <w:szCs w:val="24"/>
    </w:rPr>
  </w:style>
  <w:style w:type="paragraph" w:customStyle="1" w:styleId="112">
    <w:name w:val="xl92"/>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hAnsi="仿宋" w:cs="宋体"/>
      <w:b/>
      <w:bCs/>
      <w:kern w:val="0"/>
      <w:sz w:val="24"/>
      <w:szCs w:val="24"/>
    </w:rPr>
  </w:style>
  <w:style w:type="paragraph" w:customStyle="1" w:styleId="113">
    <w:name w:val="xl93"/>
    <w:basedOn w:val="1"/>
    <w:qFormat/>
    <w:uiPriority w:val="0"/>
    <w:pPr>
      <w:widowControl/>
      <w:pBdr>
        <w:top w:val="single" w:color="auto" w:sz="4" w:space="0"/>
        <w:right w:val="single" w:color="auto" w:sz="4" w:space="0"/>
      </w:pBdr>
      <w:spacing w:before="100" w:beforeAutospacing="1" w:after="100" w:afterAutospacing="1"/>
      <w:textAlignment w:val="center"/>
    </w:pPr>
    <w:rPr>
      <w:rFonts w:hAnsi="仿宋" w:cs="宋体"/>
      <w:kern w:val="0"/>
      <w:sz w:val="24"/>
      <w:szCs w:val="24"/>
    </w:rPr>
  </w:style>
  <w:style w:type="paragraph" w:customStyle="1" w:styleId="114">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仿宋" w:cs="宋体"/>
      <w:kern w:val="0"/>
      <w:sz w:val="24"/>
      <w:szCs w:val="24"/>
    </w:rPr>
  </w:style>
  <w:style w:type="paragraph" w:customStyle="1" w:styleId="115">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textAlignment w:val="center"/>
    </w:pPr>
    <w:rPr>
      <w:rFonts w:hAnsi="仿宋" w:cs="宋体"/>
      <w:b/>
      <w:bCs/>
      <w:kern w:val="0"/>
      <w:sz w:val="24"/>
      <w:szCs w:val="24"/>
    </w:rPr>
  </w:style>
  <w:style w:type="paragraph" w:customStyle="1" w:styleId="116">
    <w:name w:val="xl9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17">
    <w:name w:val="xl97"/>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cs="宋体"/>
      <w:kern w:val="0"/>
      <w:sz w:val="24"/>
      <w:szCs w:val="24"/>
      <w:u w:val="single"/>
    </w:rPr>
  </w:style>
  <w:style w:type="paragraph" w:customStyle="1" w:styleId="118">
    <w:name w:val="xl9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仿宋" w:cs="宋体"/>
      <w:b/>
      <w:bCs/>
      <w:kern w:val="0"/>
      <w:sz w:val="24"/>
      <w:szCs w:val="24"/>
    </w:rPr>
  </w:style>
  <w:style w:type="paragraph" w:customStyle="1" w:styleId="119">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Ansi="仿宋" w:cs="宋体"/>
      <w:b/>
      <w:bCs/>
      <w:kern w:val="0"/>
      <w:sz w:val="24"/>
      <w:szCs w:val="24"/>
    </w:rPr>
  </w:style>
  <w:style w:type="paragraph" w:customStyle="1" w:styleId="120">
    <w:name w:val="xl100"/>
    <w:basedOn w:val="1"/>
    <w:qFormat/>
    <w:uiPriority w:val="0"/>
    <w:pPr>
      <w:widowControl/>
      <w:pBdr>
        <w:left w:val="single" w:color="auto" w:sz="4" w:space="0"/>
        <w:right w:val="single" w:color="auto" w:sz="4" w:space="0"/>
      </w:pBdr>
      <w:spacing w:before="100" w:beforeAutospacing="1" w:after="100" w:afterAutospacing="1"/>
      <w:jc w:val="center"/>
    </w:pPr>
    <w:rPr>
      <w:rFonts w:ascii="方正仿宋_GBK" w:hAnsi="宋体" w:eastAsia="方正仿宋_GBK" w:cs="宋体"/>
      <w:b/>
      <w:bCs/>
      <w:kern w:val="0"/>
      <w:sz w:val="24"/>
      <w:szCs w:val="24"/>
    </w:rPr>
  </w:style>
  <w:style w:type="paragraph" w:customStyle="1" w:styleId="121">
    <w:name w:val="xl10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方正仿宋_GBK" w:hAnsi="宋体" w:eastAsia="方正仿宋_GBK" w:cs="宋体"/>
      <w:b/>
      <w:bCs/>
      <w:kern w:val="0"/>
      <w:sz w:val="24"/>
      <w:szCs w:val="24"/>
    </w:rPr>
  </w:style>
  <w:style w:type="paragraph" w:customStyle="1" w:styleId="122">
    <w:name w:val="xl102"/>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方正小标宋_GBK" w:hAnsi="宋体" w:eastAsia="方正小标宋_GBK" w:cs="宋体"/>
      <w:kern w:val="0"/>
      <w:sz w:val="40"/>
      <w:szCs w:val="40"/>
    </w:rPr>
  </w:style>
  <w:style w:type="paragraph" w:customStyle="1" w:styleId="123">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方正小标宋_GBK" w:hAnsi="宋体" w:eastAsia="方正小标宋_GBK" w:cs="宋体"/>
      <w:kern w:val="0"/>
      <w:sz w:val="40"/>
      <w:szCs w:val="40"/>
    </w:rPr>
  </w:style>
  <w:style w:type="paragraph" w:customStyle="1" w:styleId="124">
    <w:name w:val="xl104"/>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方正小标宋_GBK" w:hAnsi="宋体" w:eastAsia="方正小标宋_GBK" w:cs="宋体"/>
      <w:kern w:val="0"/>
      <w:sz w:val="40"/>
      <w:szCs w:val="40"/>
    </w:rPr>
  </w:style>
  <w:style w:type="paragraph" w:customStyle="1" w:styleId="125">
    <w:name w:val="xl10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Ansi="仿宋" w:cs="宋体"/>
      <w:b/>
      <w:bCs/>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BA7540-56B3-49FF-9205-7531EA61478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1223</Words>
  <Characters>6972</Characters>
  <Lines>58</Lines>
  <Paragraphs>16</Paragraphs>
  <TotalTime>50</TotalTime>
  <ScaleCrop>false</ScaleCrop>
  <LinksUpToDate>false</LinksUpToDate>
  <CharactersWithSpaces>8179</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2021-10-27T10:55:00Z</dcterms:created>
  <dc:creator>杨刚_65ygang</dc:creator>
  <cp:lastModifiedBy>86181</cp:lastModifiedBy>
  <cp:lastPrinted>2021-10-28T02:52:00Z</cp:lastPrinted>
  <dcterms:modified xsi:type="dcterms:W3CDTF">2022-10-12T08:35:34Z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