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600" w:lineRule="exact"/>
        <w:jc w:val="center"/>
        <w:rPr>
          <w:rFonts w:ascii="方正小标宋_GBK" w:eastAsia="方正小标宋_GBK"/>
          <w:sz w:val="44"/>
          <w:szCs w:val="44"/>
        </w:rPr>
      </w:pPr>
      <w:r>
        <w:rPr>
          <w:rFonts w:hint="eastAsia" w:ascii="方正小标宋_GBK" w:eastAsia="方正小标宋_GBK"/>
          <w:sz w:val="44"/>
          <w:szCs w:val="44"/>
        </w:rPr>
        <w:t>新疆维吾尔自治区药品上市后变更备案</w:t>
      </w:r>
    </w:p>
    <w:p>
      <w:pPr>
        <w:adjustRightIn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管理工作程序（试行）</w:t>
      </w:r>
    </w:p>
    <w:p>
      <w:pPr>
        <w:adjustRightInd w:val="0"/>
        <w:spacing w:line="600" w:lineRule="exact"/>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征求意见稿</w:t>
      </w:r>
      <w:r>
        <w:rPr>
          <w:rFonts w:hint="eastAsia" w:ascii="方正小标宋_GBK" w:eastAsia="方正小标宋_GBK"/>
          <w:sz w:val="44"/>
          <w:szCs w:val="44"/>
          <w:lang w:eastAsia="zh-CN"/>
        </w:rPr>
        <w:t>）</w:t>
      </w:r>
    </w:p>
    <w:p>
      <w:pPr>
        <w:adjustRightInd w:val="0"/>
        <w:spacing w:line="550" w:lineRule="exact"/>
        <w:jc w:val="center"/>
      </w:pPr>
    </w:p>
    <w:p>
      <w:pPr>
        <w:adjustRightInd w:val="0"/>
        <w:spacing w:line="550" w:lineRule="exact"/>
        <w:jc w:val="center"/>
        <w:rPr>
          <w:rFonts w:ascii="黑体" w:hAnsi="黑体" w:eastAsia="黑体"/>
        </w:rPr>
      </w:pPr>
      <w:r>
        <w:rPr>
          <w:rFonts w:hint="eastAsia" w:ascii="黑体" w:hAnsi="黑体" w:eastAsia="黑体"/>
        </w:rPr>
        <w:t>第一章  总则</w:t>
      </w:r>
    </w:p>
    <w:p>
      <w:pPr>
        <w:adjustRightInd w:val="0"/>
        <w:spacing w:line="550" w:lineRule="exact"/>
      </w:pPr>
    </w:p>
    <w:p>
      <w:pPr>
        <w:adjustRightInd w:val="0"/>
        <w:spacing w:line="550" w:lineRule="exact"/>
        <w:ind w:firstLine="624" w:firstLineChars="200"/>
        <w:rPr>
          <w:rFonts w:hAnsi="仿宋"/>
          <w:szCs w:val="32"/>
        </w:rPr>
      </w:pPr>
      <w:r>
        <w:rPr>
          <w:rFonts w:hint="eastAsia" w:ascii="黑体" w:hAnsi="黑体" w:eastAsia="黑体" w:cs="黑体"/>
          <w:szCs w:val="32"/>
        </w:rPr>
        <w:t>第一条</w:t>
      </w:r>
      <w:r>
        <w:rPr>
          <w:rFonts w:hint="eastAsia" w:hAnsi="仿宋"/>
          <w:szCs w:val="32"/>
        </w:rPr>
        <w:t xml:space="preserve">  为规范全区药品上市后变更管理，强化药品上市许可持有人（含原料药登记人，以下简称持有人）药品上市后变更管理责任，加强药品注册、生产监管、审评检查、检验检测的工作衔接，根据《药品管理法》和《药品注册管理办法》、《药品生产监督管理办法》、</w:t>
      </w:r>
      <w:r>
        <w:rPr>
          <w:rFonts w:hint="eastAsia"/>
          <w:szCs w:val="32"/>
        </w:rPr>
        <w:t>《药品上市后变更管理办法（试行）》</w:t>
      </w:r>
      <w:r>
        <w:rPr>
          <w:rFonts w:eastAsia="仿宋_GB2312"/>
          <w:color w:val="000000"/>
          <w:szCs w:val="32"/>
        </w:rPr>
        <w:t>等</w:t>
      </w:r>
      <w:r>
        <w:rPr>
          <w:rFonts w:hint="eastAsia" w:eastAsia="仿宋_GB2312"/>
          <w:color w:val="000000"/>
          <w:szCs w:val="32"/>
        </w:rPr>
        <w:t>法律法规和规章</w:t>
      </w:r>
      <w:r>
        <w:rPr>
          <w:rFonts w:hint="eastAsia"/>
          <w:szCs w:val="32"/>
        </w:rPr>
        <w:t>，</w:t>
      </w:r>
      <w:r>
        <w:rPr>
          <w:rFonts w:hint="eastAsia" w:hAnsi="仿宋"/>
          <w:szCs w:val="32"/>
        </w:rPr>
        <w:t>制定本工作程序。</w:t>
      </w:r>
    </w:p>
    <w:p>
      <w:pPr>
        <w:adjustRightInd w:val="0"/>
        <w:spacing w:line="550" w:lineRule="exact"/>
        <w:ind w:firstLine="624" w:firstLineChars="200"/>
        <w:rPr>
          <w:rFonts w:hAnsi="仿宋"/>
          <w:szCs w:val="32"/>
        </w:rPr>
      </w:pPr>
      <w:r>
        <w:rPr>
          <w:rFonts w:hint="eastAsia" w:ascii="黑体" w:hAnsi="黑体" w:eastAsia="黑体" w:cs="黑体"/>
          <w:szCs w:val="32"/>
        </w:rPr>
        <w:t>第二条</w:t>
      </w:r>
      <w:r>
        <w:rPr>
          <w:rFonts w:hint="eastAsia" w:hAnsi="仿宋"/>
          <w:szCs w:val="32"/>
        </w:rPr>
        <w:t xml:space="preserve">  本工作程序适用于法律、法规、规章及相关技术指导原则等明确的，由省级药品监管部门负责实施的药品上市后备案类变更，以及经持有人与新疆维吾尔自治区药品监督管理局（以下简称区局）沟通交流，确认属于备案类变更的事项。沟通交流工作程序另行制定。</w:t>
      </w:r>
    </w:p>
    <w:p>
      <w:pPr>
        <w:adjustRightInd w:val="0"/>
        <w:spacing w:line="550" w:lineRule="exact"/>
        <w:ind w:firstLine="624" w:firstLineChars="200"/>
        <w:rPr>
          <w:rFonts w:hAnsi="仿宋"/>
          <w:szCs w:val="32"/>
        </w:rPr>
      </w:pPr>
      <w:r>
        <w:rPr>
          <w:rFonts w:hint="eastAsia" w:ascii="黑体" w:hAnsi="黑体" w:eastAsia="黑体" w:cs="黑体"/>
          <w:szCs w:val="32"/>
        </w:rPr>
        <w:t>第三条</w:t>
      </w:r>
      <w:r>
        <w:rPr>
          <w:rFonts w:hint="eastAsia" w:hAnsi="仿宋"/>
          <w:szCs w:val="32"/>
        </w:rPr>
        <w:t xml:space="preserve">  持有人对药品上市后变更管理承担主体责任，应当建立药品上市后变更控制体系，</w:t>
      </w:r>
      <w:r>
        <w:rPr>
          <w:rFonts w:hint="eastAsia" w:hAnsi="仿宋"/>
          <w:sz w:val="30"/>
          <w:szCs w:val="30"/>
        </w:rPr>
        <w:t>根据有关技术要求及指导原则,制定实施持有人内部变更分类原则、变更事项清单、工作程序及风险管理要求。同时,持有人</w:t>
      </w:r>
      <w:r>
        <w:rPr>
          <w:rFonts w:hint="eastAsia" w:hAnsi="仿宋"/>
          <w:szCs w:val="32"/>
        </w:rPr>
        <w:t>应结合产品特点，经充分研究、评估和必要的验证后确定变更管理类别。</w:t>
      </w:r>
    </w:p>
    <w:p>
      <w:pPr>
        <w:adjustRightInd w:val="0"/>
        <w:spacing w:line="550" w:lineRule="exact"/>
        <w:ind w:firstLine="624" w:firstLineChars="200"/>
        <w:rPr>
          <w:rFonts w:hAnsi="仿宋"/>
          <w:szCs w:val="32"/>
        </w:rPr>
      </w:pPr>
      <w:r>
        <w:rPr>
          <w:rFonts w:hint="eastAsia" w:hAnsi="仿宋"/>
          <w:szCs w:val="32"/>
        </w:rPr>
        <w:t>药品上市后变更不得对药品的安全性、有效性和质量可控性产生不良影响。</w:t>
      </w:r>
    </w:p>
    <w:p>
      <w:pPr>
        <w:adjustRightInd w:val="0"/>
        <w:spacing w:line="550" w:lineRule="exact"/>
        <w:ind w:firstLine="624" w:firstLineChars="200"/>
        <w:rPr>
          <w:rFonts w:hAnsi="仿宋"/>
          <w:szCs w:val="32"/>
        </w:rPr>
      </w:pPr>
      <w:r>
        <w:rPr>
          <w:rFonts w:hint="eastAsia" w:ascii="黑体" w:hAnsi="黑体" w:eastAsia="黑体" w:cs="黑体"/>
          <w:szCs w:val="32"/>
        </w:rPr>
        <w:t xml:space="preserve">第四条  </w:t>
      </w:r>
      <w:r>
        <w:rPr>
          <w:rFonts w:hint="eastAsia" w:hAnsi="仿宋"/>
          <w:sz w:val="30"/>
          <w:szCs w:val="30"/>
        </w:rPr>
        <w:t>持有人应当对备案信息已公示、尚处于备案资料审查阶段的变更进行风险评估。对于已实施但经审查取消的备案，持有人应当采取相应的风险控制措施控制产品风险，并承担因变更管理不当引起的相关法律责任。</w:t>
      </w:r>
    </w:p>
    <w:p>
      <w:pPr>
        <w:adjustRightInd w:val="0"/>
        <w:spacing w:line="550" w:lineRule="exact"/>
        <w:ind w:firstLine="624" w:firstLineChars="200"/>
        <w:rPr>
          <w:rFonts w:hAnsi="仿宋"/>
          <w:szCs w:val="32"/>
        </w:rPr>
      </w:pPr>
    </w:p>
    <w:p>
      <w:pPr>
        <w:adjustRightInd w:val="0"/>
        <w:spacing w:line="550" w:lineRule="exact"/>
        <w:jc w:val="center"/>
        <w:rPr>
          <w:rFonts w:ascii="黑体" w:hAnsi="黑体" w:eastAsia="黑体"/>
        </w:rPr>
      </w:pPr>
      <w:r>
        <w:rPr>
          <w:rFonts w:hint="eastAsia" w:ascii="黑体" w:hAnsi="黑体" w:eastAsia="黑体"/>
        </w:rPr>
        <w:t>第二章  变更备案程序</w:t>
      </w:r>
    </w:p>
    <w:p>
      <w:pPr>
        <w:adjustRightInd w:val="0"/>
        <w:spacing w:line="550" w:lineRule="exact"/>
        <w:ind w:firstLine="624" w:firstLineChars="200"/>
        <w:jc w:val="left"/>
        <w:rPr>
          <w:rFonts w:ascii="黑体" w:hAnsi="黑体" w:eastAsia="黑体" w:cs="黑体"/>
          <w:szCs w:val="32"/>
        </w:rPr>
      </w:pPr>
    </w:p>
    <w:p>
      <w:pPr>
        <w:adjustRightInd w:val="0"/>
        <w:spacing w:line="550" w:lineRule="exact"/>
        <w:ind w:firstLine="624" w:firstLineChars="200"/>
        <w:rPr>
          <w:rFonts w:hAnsi="仿宋"/>
          <w:szCs w:val="32"/>
        </w:rPr>
      </w:pPr>
      <w:r>
        <w:rPr>
          <w:rFonts w:hint="eastAsia" w:ascii="黑体" w:hAnsi="黑体" w:eastAsia="黑体" w:cs="黑体"/>
          <w:szCs w:val="32"/>
        </w:rPr>
        <w:t>第五条</w:t>
      </w:r>
      <w:r>
        <w:rPr>
          <w:rFonts w:hint="eastAsia" w:hAnsi="仿宋"/>
          <w:szCs w:val="32"/>
        </w:rPr>
        <w:t xml:space="preserve">  </w:t>
      </w:r>
      <w:r>
        <w:rPr>
          <w:rFonts w:hint="eastAsia" w:hAnsi="仿宋" w:cs="仿宋_GB2312"/>
          <w:bCs/>
          <w:szCs w:val="32"/>
        </w:rPr>
        <w:t>资料提交。</w:t>
      </w:r>
      <w:r>
        <w:rPr>
          <w:rFonts w:hint="eastAsia" w:hAnsi="仿宋"/>
          <w:szCs w:val="32"/>
        </w:rPr>
        <w:t>持有人应按照《国家药监局关于药品注册网上申报的公告》（2020年第145号）要求，通过国家药品监督管理局网上办事大厅药品业务应用系统（以下简称国家局业务系统）提交备案资料。根据国家药监局药审中心发布的《中药变更受理审查指南（试行）》（2021年第24号）、《化学药变更受理审查指南（试行）》（2021年第17号）、《生物制品变更受理审查指南（试行）》（2021年第30号）有关要求，持有人需同时向自治区政务服务中心行政许可受理中心（以下简称受理中心）寄送纸质备案资料1套。受理中心在收到纸质备案资料5日内，对照《药品上市后变更备案事项目录》（附件1），不需进行技术审查的，转区局注册管理处（以下简称注册处），需进行技术审查的，转新疆维吾尔自治区药品审评查验中心（以下简称审评查验中心）。</w:t>
      </w:r>
    </w:p>
    <w:p>
      <w:pPr>
        <w:adjustRightInd w:val="0"/>
        <w:spacing w:line="550" w:lineRule="exact"/>
        <w:ind w:firstLine="624" w:firstLineChars="200"/>
        <w:rPr>
          <w:rFonts w:hAnsi="仿宋"/>
          <w:szCs w:val="32"/>
        </w:rPr>
      </w:pPr>
      <w:r>
        <w:rPr>
          <w:rFonts w:hint="eastAsia" w:ascii="黑体" w:hAnsi="黑体" w:eastAsia="黑体" w:cs="黑体"/>
          <w:szCs w:val="32"/>
        </w:rPr>
        <w:t>第六条</w:t>
      </w:r>
      <w:r>
        <w:rPr>
          <w:rFonts w:hint="eastAsia" w:hAnsi="仿宋"/>
          <w:szCs w:val="32"/>
        </w:rPr>
        <w:t xml:space="preserve">  签收及公示。注册处自持有人提交资料起5日内，对备案资料进行核对，符合相关要求的，在国家局业务系统中予以签收并公示；不符合要求的，不予签收，并通过国家局业务系统向持有人说明理由。</w:t>
      </w:r>
    </w:p>
    <w:p>
      <w:pPr>
        <w:adjustRightInd w:val="0"/>
        <w:spacing w:line="550" w:lineRule="exact"/>
        <w:ind w:firstLine="624" w:firstLineChars="200"/>
        <w:rPr>
          <w:rFonts w:hAnsi="仿宋"/>
          <w:szCs w:val="32"/>
        </w:rPr>
      </w:pPr>
      <w:r>
        <w:rPr>
          <w:rFonts w:hint="eastAsia" w:hAnsi="仿宋"/>
          <w:szCs w:val="32"/>
        </w:rPr>
        <w:t>持有人可在国家药监局官方网站“数据查询”栏目“境内生产药品备案信息公示”项中查询已公示的备案信息。</w:t>
      </w:r>
      <w:bookmarkStart w:id="0" w:name="OLE_LINK1"/>
    </w:p>
    <w:p>
      <w:pPr>
        <w:adjustRightInd w:val="0"/>
        <w:spacing w:line="550" w:lineRule="exact"/>
        <w:ind w:firstLine="624" w:firstLineChars="200"/>
        <w:rPr>
          <w:rFonts w:hAnsi="仿宋" w:cs="仿宋_GB2312"/>
          <w:szCs w:val="32"/>
        </w:rPr>
      </w:pPr>
      <w:r>
        <w:rPr>
          <w:rFonts w:hint="eastAsia" w:ascii="黑体" w:hAnsi="黑体" w:eastAsia="黑体" w:cs="黑体"/>
          <w:szCs w:val="32"/>
        </w:rPr>
        <w:t xml:space="preserve">第七条  </w:t>
      </w:r>
      <w:r>
        <w:rPr>
          <w:rFonts w:hint="eastAsia" w:hAnsi="仿宋" w:cs="仿宋_GB2312"/>
          <w:szCs w:val="32"/>
        </w:rPr>
        <w:t>备案审查。</w:t>
      </w:r>
    </w:p>
    <w:p>
      <w:pPr>
        <w:adjustRightInd w:val="0"/>
        <w:spacing w:line="550" w:lineRule="exact"/>
        <w:ind w:firstLine="624" w:firstLineChars="200"/>
        <w:rPr>
          <w:rFonts w:hAnsi="仿宋" w:cs="仿宋_GB2312"/>
          <w:szCs w:val="32"/>
        </w:rPr>
      </w:pPr>
      <w:r>
        <w:rPr>
          <w:rFonts w:hint="eastAsia" w:hAnsi="仿宋" w:cs="仿宋_GB2312"/>
          <w:szCs w:val="32"/>
        </w:rPr>
        <w:t>（一）资料审查</w:t>
      </w:r>
    </w:p>
    <w:p>
      <w:pPr>
        <w:adjustRightInd w:val="0"/>
        <w:spacing w:line="550" w:lineRule="exact"/>
        <w:ind w:firstLine="624" w:firstLineChars="200"/>
        <w:rPr>
          <w:rFonts w:hAnsi="仿宋" w:cs="仿宋_GB2312"/>
          <w:szCs w:val="32"/>
        </w:rPr>
      </w:pPr>
      <w:r>
        <w:rPr>
          <w:rFonts w:hint="eastAsia" w:hAnsi="仿宋" w:cs="仿宋_GB2312"/>
          <w:szCs w:val="32"/>
        </w:rPr>
        <w:t>1.对无需技术审查的备案类变更（见附件1），注册处自公示之日起25日内完成资料审查</w:t>
      </w:r>
      <w:r>
        <w:rPr>
          <w:rFonts w:hint="eastAsia" w:hAnsi="仿宋"/>
          <w:szCs w:val="32"/>
        </w:rPr>
        <w:t>。</w:t>
      </w:r>
      <w:r>
        <w:rPr>
          <w:rFonts w:hint="eastAsia" w:hAnsi="仿宋" w:cs="仿宋_GB2312"/>
          <w:szCs w:val="32"/>
        </w:rPr>
        <w:t>审查不通过的，按程序予以取消备案。</w:t>
      </w:r>
    </w:p>
    <w:p>
      <w:pPr>
        <w:adjustRightInd w:val="0"/>
        <w:spacing w:line="550" w:lineRule="exact"/>
        <w:ind w:firstLine="624" w:firstLineChars="200"/>
        <w:rPr>
          <w:rFonts w:hAnsi="仿宋"/>
          <w:szCs w:val="32"/>
        </w:rPr>
      </w:pPr>
      <w:r>
        <w:rPr>
          <w:rFonts w:hint="eastAsia" w:hAnsi="仿宋"/>
          <w:szCs w:val="32"/>
        </w:rPr>
        <w:t>2.对需要进行技术审查的备案类变更（见附件1），</w:t>
      </w:r>
      <w:r>
        <w:rPr>
          <w:rFonts w:hint="eastAsia" w:hAnsi="仿宋" w:cs="仿宋_GB2312"/>
          <w:szCs w:val="32"/>
        </w:rPr>
        <w:t>注册处自</w:t>
      </w:r>
      <w:r>
        <w:rPr>
          <w:rFonts w:hint="eastAsia" w:hAnsi="仿宋"/>
          <w:szCs w:val="32"/>
        </w:rPr>
        <w:t>公示当日转审评查验中心，审评查验中心应当在20日内完成技术审查。</w:t>
      </w:r>
    </w:p>
    <w:p>
      <w:pPr>
        <w:adjustRightInd w:val="0"/>
        <w:spacing w:line="550" w:lineRule="exact"/>
        <w:ind w:firstLine="624" w:firstLineChars="200"/>
        <w:rPr>
          <w:rFonts w:hAnsi="仿宋"/>
          <w:szCs w:val="32"/>
        </w:rPr>
      </w:pPr>
      <w:r>
        <w:rPr>
          <w:rFonts w:hint="eastAsia" w:hAnsi="仿宋"/>
          <w:szCs w:val="32"/>
        </w:rPr>
        <w:t>（二）现场核查与检验。审评查验中心依据变更备案事项的风险特点，决定是否进行现场核查及抽样检验。下列情形包括但不限于进行现场核查、检验的情形：</w:t>
      </w:r>
    </w:p>
    <w:p>
      <w:pPr>
        <w:adjustRightInd w:val="0"/>
        <w:spacing w:line="550" w:lineRule="exact"/>
        <w:ind w:firstLine="624" w:firstLineChars="200"/>
        <w:rPr>
          <w:rFonts w:hAnsi="仿宋"/>
          <w:szCs w:val="32"/>
        </w:rPr>
      </w:pPr>
      <w:r>
        <w:rPr>
          <w:rFonts w:hint="eastAsia" w:hAnsi="仿宋"/>
          <w:szCs w:val="32"/>
        </w:rPr>
        <w:t>1.认为备案申请资料真实性存疑，需要经过现场核查和/或检验方可确认的；</w:t>
      </w:r>
    </w:p>
    <w:p>
      <w:pPr>
        <w:adjustRightInd w:val="0"/>
        <w:spacing w:line="550" w:lineRule="exact"/>
        <w:ind w:firstLine="624" w:firstLineChars="200"/>
        <w:rPr>
          <w:rFonts w:hAnsi="仿宋"/>
          <w:szCs w:val="32"/>
        </w:rPr>
      </w:pPr>
      <w:r>
        <w:rPr>
          <w:rFonts w:hint="eastAsia" w:hAnsi="仿宋"/>
          <w:szCs w:val="32"/>
        </w:rPr>
        <w:t>2.对资料审查后认为不足以认定变更类别，需要依据现场核查和/或检验情况进行综合判定的；</w:t>
      </w:r>
    </w:p>
    <w:p>
      <w:pPr>
        <w:adjustRightInd w:val="0"/>
        <w:spacing w:line="550" w:lineRule="exact"/>
        <w:ind w:firstLine="624" w:firstLineChars="200"/>
        <w:rPr>
          <w:rFonts w:hAnsi="仿宋"/>
          <w:szCs w:val="32"/>
        </w:rPr>
      </w:pPr>
      <w:r>
        <w:rPr>
          <w:rFonts w:hint="eastAsia" w:hAnsi="仿宋"/>
          <w:szCs w:val="32"/>
        </w:rPr>
        <w:t>3.审评过程中认为需要现场核查和/或检验的其他情形。</w:t>
      </w:r>
    </w:p>
    <w:p>
      <w:pPr>
        <w:adjustRightInd w:val="0"/>
        <w:spacing w:line="550" w:lineRule="exact"/>
        <w:ind w:firstLine="624" w:firstLineChars="200"/>
        <w:rPr>
          <w:rFonts w:hAnsi="仿宋"/>
          <w:szCs w:val="32"/>
        </w:rPr>
      </w:pPr>
      <w:r>
        <w:rPr>
          <w:rFonts w:hint="eastAsia" w:hAnsi="仿宋"/>
          <w:szCs w:val="32"/>
        </w:rPr>
        <w:t>需检验的，由审评查验中心现场抽样并送具备资质的检验机构检验。样品检验时限为60日，药品检验和标准复核同时进行的时限为90日。</w:t>
      </w:r>
    </w:p>
    <w:p>
      <w:pPr>
        <w:adjustRightInd w:val="0"/>
        <w:spacing w:line="550" w:lineRule="exact"/>
        <w:ind w:firstLine="624" w:firstLineChars="200"/>
        <w:rPr>
          <w:rFonts w:hAnsi="仿宋"/>
          <w:szCs w:val="32"/>
        </w:rPr>
      </w:pPr>
      <w:r>
        <w:rPr>
          <w:rFonts w:hint="eastAsia" w:hAnsi="仿宋"/>
          <w:szCs w:val="32"/>
        </w:rPr>
        <w:t>现场检查、抽样检验所需时间不计入审查时限。</w:t>
      </w:r>
    </w:p>
    <w:p>
      <w:pPr>
        <w:adjustRightInd w:val="0"/>
        <w:spacing w:line="550" w:lineRule="exact"/>
        <w:ind w:firstLine="624" w:firstLineChars="200"/>
        <w:rPr>
          <w:rFonts w:hAnsi="仿宋"/>
          <w:szCs w:val="32"/>
        </w:rPr>
      </w:pPr>
      <w:r>
        <w:rPr>
          <w:rFonts w:hint="eastAsia" w:hAnsi="仿宋"/>
          <w:szCs w:val="32"/>
        </w:rPr>
        <w:t xml:space="preserve">（三）审查结论。审评查验中心结合资料审查情况、现场核查意见、检验报告结果进行综合评定，如发现持有人申请的变更备案，其研究和验证结果不足以证明该变更科学、合理、风险可控，或者变更管理类别分类不当的，作出不予通过的审评意见。 </w:t>
      </w:r>
    </w:p>
    <w:p>
      <w:pPr>
        <w:adjustRightInd w:val="0"/>
        <w:spacing w:line="550" w:lineRule="exact"/>
        <w:ind w:firstLine="624" w:firstLineChars="200"/>
        <w:rPr>
          <w:rFonts w:hAnsi="仿宋"/>
          <w:szCs w:val="32"/>
        </w:rPr>
      </w:pPr>
      <w:r>
        <w:rPr>
          <w:rFonts w:hint="eastAsia" w:hAnsi="仿宋"/>
          <w:szCs w:val="32"/>
        </w:rPr>
        <w:t>评定结论为通过或不予通过的，均出具《已上市药品变更备案审评意见》（附件2）。</w:t>
      </w:r>
    </w:p>
    <w:p>
      <w:pPr>
        <w:adjustRightInd w:val="0"/>
        <w:spacing w:line="550" w:lineRule="exact"/>
        <w:ind w:firstLine="624" w:firstLineChars="200"/>
        <w:rPr>
          <w:rFonts w:hAnsi="仿宋"/>
          <w:szCs w:val="32"/>
        </w:rPr>
      </w:pPr>
      <w:r>
        <w:rPr>
          <w:rFonts w:hint="eastAsia" w:hAnsi="仿宋"/>
          <w:szCs w:val="32"/>
        </w:rPr>
        <w:t>审评查验中心完成技术审评后将审评意见通过国家局业务系统提交注册处审核。注册处自收到审评意见起5日内，作出审核结论。</w:t>
      </w:r>
    </w:p>
    <w:p>
      <w:pPr>
        <w:adjustRightInd w:val="0"/>
        <w:spacing w:line="550" w:lineRule="exact"/>
        <w:ind w:firstLine="624" w:firstLineChars="200"/>
        <w:rPr>
          <w:rFonts w:hAnsi="仿宋"/>
          <w:szCs w:val="32"/>
        </w:rPr>
      </w:pPr>
      <w:r>
        <w:rPr>
          <w:rFonts w:hint="eastAsia" w:hAnsi="仿宋"/>
          <w:szCs w:val="32"/>
        </w:rPr>
        <w:t>（四）备案取消。对于不符合备案要求，审核不通过的，注册处按程序在国家局业务系统中取消相应的备案公示，并通过国家局业务系统告知持有人，同时书面抄送区局药品生产监管处（以下简称生产处）。对涉及备案资料真实性问题的，审评查验中心依法移交生产处调查处理。</w:t>
      </w:r>
    </w:p>
    <w:p>
      <w:pPr>
        <w:adjustRightInd w:val="0"/>
        <w:spacing w:line="550" w:lineRule="exact"/>
        <w:ind w:firstLine="624" w:firstLineChars="200"/>
        <w:rPr>
          <w:rFonts w:hAnsi="仿宋"/>
          <w:szCs w:val="32"/>
        </w:rPr>
      </w:pPr>
      <w:r>
        <w:rPr>
          <w:rFonts w:hint="eastAsia" w:hAnsi="仿宋"/>
          <w:szCs w:val="32"/>
        </w:rPr>
        <w:t>（五）备案存档。注册处完成审核后，将备案情况及时纳入药品品种档案，同时将纸质备案资料转受理中心按规定存档。</w:t>
      </w:r>
    </w:p>
    <w:bookmarkEnd w:id="0"/>
    <w:p>
      <w:pPr>
        <w:adjustRightInd w:val="0"/>
        <w:spacing w:line="550" w:lineRule="exact"/>
        <w:ind w:firstLine="624" w:firstLineChars="200"/>
        <w:rPr>
          <w:rFonts w:hAnsi="仿宋"/>
          <w:kern w:val="32"/>
          <w:szCs w:val="32"/>
        </w:rPr>
      </w:pPr>
    </w:p>
    <w:p>
      <w:pPr>
        <w:adjustRightInd w:val="0"/>
        <w:spacing w:line="550" w:lineRule="exact"/>
        <w:jc w:val="center"/>
        <w:rPr>
          <w:rFonts w:ascii="黑体" w:hAnsi="黑体" w:eastAsia="黑体"/>
          <w:kern w:val="32"/>
        </w:rPr>
      </w:pPr>
      <w:r>
        <w:rPr>
          <w:rFonts w:hint="eastAsia" w:ascii="黑体" w:hAnsi="黑体" w:eastAsia="黑体"/>
          <w:kern w:val="32"/>
        </w:rPr>
        <w:t>第三章 药品生产场地变更备案管理</w:t>
      </w:r>
    </w:p>
    <w:p>
      <w:pPr>
        <w:adjustRightInd w:val="0"/>
        <w:spacing w:line="550" w:lineRule="exact"/>
        <w:ind w:firstLine="624" w:firstLineChars="200"/>
        <w:rPr>
          <w:rFonts w:ascii="黑体" w:hAnsi="黑体" w:eastAsia="黑体" w:cs="黑体"/>
          <w:kern w:val="32"/>
          <w:szCs w:val="32"/>
        </w:rPr>
      </w:pPr>
    </w:p>
    <w:p>
      <w:pPr>
        <w:adjustRightInd w:val="0"/>
        <w:spacing w:line="550" w:lineRule="exact"/>
        <w:ind w:firstLine="624" w:firstLineChars="200"/>
        <w:rPr>
          <w:rFonts w:hAnsi="仿宋"/>
          <w:kern w:val="32"/>
          <w:szCs w:val="32"/>
        </w:rPr>
      </w:pPr>
      <w:r>
        <w:rPr>
          <w:rFonts w:hint="eastAsia" w:ascii="黑体" w:hAnsi="黑体" w:eastAsia="黑体" w:cs="黑体"/>
          <w:kern w:val="32"/>
          <w:szCs w:val="32"/>
        </w:rPr>
        <w:t xml:space="preserve">第八条  </w:t>
      </w:r>
      <w:r>
        <w:rPr>
          <w:rFonts w:hint="eastAsia" w:hAnsi="仿宋"/>
          <w:kern w:val="32"/>
          <w:szCs w:val="32"/>
        </w:rPr>
        <w:t>以下情形属于药品生产场地变更：</w:t>
      </w:r>
    </w:p>
    <w:p>
      <w:pPr>
        <w:adjustRightInd w:val="0"/>
        <w:spacing w:line="550" w:lineRule="exact"/>
        <w:ind w:firstLine="624" w:firstLineChars="200"/>
        <w:rPr>
          <w:rFonts w:hAnsi="仿宋"/>
          <w:kern w:val="32"/>
          <w:szCs w:val="32"/>
        </w:rPr>
      </w:pPr>
      <w:r>
        <w:rPr>
          <w:rFonts w:hint="eastAsia" w:hAnsi="仿宋"/>
          <w:kern w:val="32"/>
          <w:szCs w:val="32"/>
        </w:rPr>
        <w:t>（一）药品变更或新增生产地址；</w:t>
      </w:r>
    </w:p>
    <w:p>
      <w:pPr>
        <w:adjustRightInd w:val="0"/>
        <w:spacing w:line="550" w:lineRule="exact"/>
        <w:ind w:firstLine="624" w:firstLineChars="200"/>
        <w:rPr>
          <w:rFonts w:hAnsi="仿宋"/>
          <w:kern w:val="32"/>
          <w:szCs w:val="32"/>
        </w:rPr>
      </w:pPr>
      <w:r>
        <w:rPr>
          <w:rFonts w:hint="eastAsia" w:hAnsi="仿宋"/>
          <w:kern w:val="32"/>
          <w:szCs w:val="32"/>
        </w:rPr>
        <w:t>（二）同一生产地址内，药品新增生产车间或生产线；</w:t>
      </w:r>
    </w:p>
    <w:p>
      <w:pPr>
        <w:adjustRightInd w:val="0"/>
        <w:spacing w:line="550" w:lineRule="exact"/>
        <w:ind w:firstLine="624" w:firstLineChars="200"/>
        <w:rPr>
          <w:rFonts w:hAnsi="仿宋"/>
          <w:kern w:val="32"/>
          <w:szCs w:val="32"/>
        </w:rPr>
      </w:pPr>
      <w:r>
        <w:rPr>
          <w:rFonts w:hint="eastAsia" w:hAnsi="仿宋"/>
          <w:kern w:val="32"/>
          <w:szCs w:val="32"/>
        </w:rPr>
        <w:t>（三）同一生产地址内，药品现有生产车间或生产线的改扩建；</w:t>
      </w:r>
    </w:p>
    <w:p>
      <w:pPr>
        <w:adjustRightInd w:val="0"/>
        <w:spacing w:line="550" w:lineRule="exact"/>
        <w:ind w:firstLine="624" w:firstLineChars="200"/>
        <w:rPr>
          <w:rFonts w:hAnsi="仿宋"/>
          <w:kern w:val="32"/>
          <w:szCs w:val="32"/>
        </w:rPr>
      </w:pPr>
      <w:r>
        <w:rPr>
          <w:rFonts w:hint="eastAsia" w:hAnsi="仿宋"/>
          <w:kern w:val="32"/>
          <w:szCs w:val="32"/>
        </w:rPr>
        <w:t>（四）药品变更生产企业，包括变更受托生产企业、增加受托生产企业，以及由自行生产变更为委托生产或由委托生产变更为自行生产的情形。</w:t>
      </w:r>
    </w:p>
    <w:p>
      <w:pPr>
        <w:adjustRightInd w:val="0"/>
        <w:spacing w:line="550" w:lineRule="exact"/>
        <w:ind w:firstLine="624" w:firstLineChars="200"/>
        <w:rPr>
          <w:rFonts w:hAnsi="仿宋"/>
          <w:kern w:val="32"/>
          <w:szCs w:val="32"/>
        </w:rPr>
      </w:pPr>
      <w:r>
        <w:rPr>
          <w:rFonts w:hint="eastAsia" w:ascii="黑体" w:hAnsi="黑体" w:eastAsia="黑体" w:cs="黑体"/>
          <w:kern w:val="32"/>
          <w:szCs w:val="32"/>
        </w:rPr>
        <w:t>第九条</w:t>
      </w:r>
      <w:r>
        <w:rPr>
          <w:rFonts w:hint="eastAsia" w:hAnsi="仿宋"/>
          <w:kern w:val="32"/>
          <w:szCs w:val="32"/>
        </w:rPr>
        <w:t xml:space="preserve">  持有人变更药品生产场地，药品的处方、生产工艺、质量标准等应与原药品一致。发生变更的，应当按照《药品生产监督管理办法》《药品上市后变更管理办法（试行）》及相关变更技术指导原则要求进行关联变更研究、评估和必要的验证，确定变更管理类别，并按规定经批准、备案后实施或报告。</w:t>
      </w:r>
    </w:p>
    <w:p>
      <w:pPr>
        <w:adjustRightInd w:val="0"/>
        <w:spacing w:line="550" w:lineRule="exact"/>
        <w:ind w:firstLine="624" w:firstLineChars="200"/>
        <w:rPr>
          <w:rFonts w:hAnsi="仿宋"/>
          <w:kern w:val="32"/>
          <w:szCs w:val="32"/>
        </w:rPr>
      </w:pPr>
      <w:r>
        <w:rPr>
          <w:rFonts w:hint="eastAsia" w:ascii="黑体" w:hAnsi="黑体" w:eastAsia="黑体" w:cs="黑体"/>
          <w:kern w:val="32"/>
          <w:szCs w:val="32"/>
        </w:rPr>
        <w:t xml:space="preserve">第十条  </w:t>
      </w:r>
      <w:r>
        <w:rPr>
          <w:rFonts w:hint="eastAsia" w:hAnsi="仿宋"/>
          <w:kern w:val="32"/>
          <w:szCs w:val="32"/>
        </w:rPr>
        <w:t>持有人变更药品生产场地，同时涉及《药品生产许可证》生产地址等信息变更以及药品生产质量管理规范符合性检查（以下简称</w:t>
      </w:r>
      <w:r>
        <w:rPr>
          <w:rFonts w:hint="eastAsia" w:hAnsi="仿宋" w:cs="仿宋_GB2312"/>
          <w:kern w:val="32"/>
          <w:szCs w:val="32"/>
        </w:rPr>
        <w:t>GMP</w:t>
      </w:r>
      <w:r>
        <w:rPr>
          <w:rFonts w:hint="eastAsia" w:hAnsi="仿宋"/>
          <w:kern w:val="32"/>
          <w:szCs w:val="32"/>
        </w:rPr>
        <w:t>符合性检查）的，相关变更可同步实施。持有人在完成研究、评估和验证后，分别按照《药品生产许可证》变更和药品生产场地变更申报资料要求整理资料，按区局《药品生产许可证》许可事项变更申请程序通过区局行政审批系统提交申报资料。</w:t>
      </w:r>
      <w:r>
        <w:rPr>
          <w:rFonts w:hint="eastAsia" w:hAnsi="仿宋" w:cs="仿宋_GB2312"/>
          <w:kern w:val="32"/>
          <w:szCs w:val="32"/>
        </w:rPr>
        <w:t>GMP</w:t>
      </w:r>
      <w:r>
        <w:rPr>
          <w:rFonts w:hint="eastAsia" w:hAnsi="仿宋"/>
          <w:kern w:val="32"/>
          <w:szCs w:val="32"/>
        </w:rPr>
        <w:t>符合性检查申请资料同时通过区局药品GMP符合性检查网上申请入口提交，由生产处转审评查验中心。不涉及《药品生产许可证》生产地址等信息变更的，按照本程序第七条规定办理。</w:t>
      </w:r>
    </w:p>
    <w:p>
      <w:pPr>
        <w:adjustRightInd w:val="0"/>
        <w:spacing w:line="550" w:lineRule="exact"/>
        <w:ind w:firstLine="624" w:firstLineChars="200"/>
        <w:rPr>
          <w:rFonts w:hAnsi="仿宋"/>
          <w:kern w:val="32"/>
          <w:szCs w:val="32"/>
        </w:rPr>
      </w:pPr>
      <w:r>
        <w:rPr>
          <w:rFonts w:hint="eastAsia" w:hAnsi="仿宋"/>
          <w:kern w:val="32"/>
          <w:szCs w:val="32"/>
        </w:rPr>
        <w:t>对属于重大变更情形的，持有人应在《药品生产许可证》变更获得批准后，向国家药监局药审中心提出药品生产场地变更的补充申请。</w:t>
      </w:r>
    </w:p>
    <w:p>
      <w:pPr>
        <w:adjustRightInd w:val="0"/>
        <w:spacing w:line="550" w:lineRule="exact"/>
        <w:ind w:firstLine="624" w:firstLineChars="200"/>
        <w:rPr>
          <w:rFonts w:ascii="仿宋_GB2312" w:hAnsi="仿宋_GB2312" w:eastAsia="仿宋_GB2312" w:cs="仿宋_GB2312"/>
          <w:kern w:val="32"/>
          <w:szCs w:val="32"/>
        </w:rPr>
      </w:pPr>
      <w:r>
        <w:rPr>
          <w:rFonts w:hint="eastAsia" w:ascii="黑体" w:hAnsi="黑体" w:eastAsia="黑体" w:cs="黑体"/>
          <w:kern w:val="32"/>
          <w:szCs w:val="32"/>
        </w:rPr>
        <w:t>第十一条</w:t>
      </w:r>
      <w:r>
        <w:rPr>
          <w:rFonts w:hint="eastAsia" w:hAnsi="仿宋" w:cs="黑体"/>
          <w:kern w:val="32"/>
          <w:szCs w:val="32"/>
        </w:rPr>
        <w:t xml:space="preserve">  </w:t>
      </w:r>
      <w:r>
        <w:rPr>
          <w:rFonts w:hint="eastAsia" w:hAnsi="仿宋" w:cs="仿宋_GB2312"/>
          <w:kern w:val="32"/>
          <w:szCs w:val="32"/>
        </w:rPr>
        <w:t>持有人变更药品生产企业，受托方为辖区内药品生产企业的，委托双方应通过区局</w:t>
      </w:r>
      <w:r>
        <w:rPr>
          <w:rFonts w:hint="eastAsia" w:hAnsi="仿宋"/>
          <w:kern w:val="32"/>
          <w:szCs w:val="32"/>
        </w:rPr>
        <w:t>行政审批系统</w:t>
      </w:r>
      <w:r>
        <w:rPr>
          <w:rFonts w:hint="eastAsia" w:hAnsi="仿宋" w:cs="仿宋_GB2312"/>
          <w:kern w:val="32"/>
          <w:szCs w:val="32"/>
        </w:rPr>
        <w:t>一并提交《药品生产许可证》许可事项变更（已上市药品生产场地变更）申请。</w:t>
      </w:r>
      <w:r>
        <w:rPr>
          <w:rFonts w:hint="eastAsia" w:hAnsi="仿宋"/>
          <w:kern w:val="32"/>
          <w:szCs w:val="32"/>
        </w:rPr>
        <w:t>审评查验</w:t>
      </w:r>
      <w:r>
        <w:rPr>
          <w:rFonts w:hint="eastAsia" w:hAnsi="仿宋" w:cs="仿宋_GB2312"/>
          <w:kern w:val="32"/>
          <w:szCs w:val="32"/>
        </w:rPr>
        <w:t>中心组织药品生产场地变更技术审评、现场检查。</w:t>
      </w:r>
    </w:p>
    <w:p>
      <w:pPr>
        <w:adjustRightInd w:val="0"/>
        <w:spacing w:line="550" w:lineRule="exact"/>
        <w:ind w:firstLine="624" w:firstLineChars="200"/>
        <w:rPr>
          <w:rFonts w:hAnsi="仿宋" w:cs="黑体"/>
          <w:kern w:val="32"/>
          <w:szCs w:val="32"/>
        </w:rPr>
      </w:pPr>
      <w:r>
        <w:rPr>
          <w:rFonts w:hint="eastAsia" w:ascii="黑体" w:hAnsi="黑体" w:eastAsia="黑体" w:cs="黑体"/>
          <w:kern w:val="32"/>
          <w:szCs w:val="32"/>
        </w:rPr>
        <w:t>第十二条</w:t>
      </w:r>
      <w:r>
        <w:rPr>
          <w:rFonts w:hint="eastAsia" w:hAnsi="仿宋" w:cs="黑体"/>
          <w:kern w:val="32"/>
          <w:szCs w:val="32"/>
        </w:rPr>
        <w:t xml:space="preserve">  审评查验中心收到药品生产许可变更、GMP符合性检查及药品生产场地变更研究等相关资料后，结合药品品种特点、药品GMP要求和处方工艺一致性等合并实施许可检查、GMP符合性检查和注册核查，并联开展现场检查及技术审评，现场检查兼顾GMP符合性检查和场地变更许可检查、注册核查的相关要求，分别出具相应的现场检查报告、技术审评报告。</w:t>
      </w:r>
    </w:p>
    <w:p>
      <w:pPr>
        <w:adjustRightInd w:val="0"/>
        <w:spacing w:line="550" w:lineRule="exact"/>
        <w:ind w:firstLine="624" w:firstLineChars="200"/>
        <w:rPr>
          <w:rFonts w:hAnsi="仿宋" w:cs="黑体"/>
          <w:kern w:val="32"/>
          <w:szCs w:val="32"/>
        </w:rPr>
      </w:pPr>
      <w:r>
        <w:rPr>
          <w:rFonts w:hint="eastAsia" w:hAnsi="仿宋" w:cs="黑体"/>
          <w:kern w:val="32"/>
          <w:szCs w:val="32"/>
        </w:rPr>
        <w:t>后续该车间或生产线仅涉及药品生产场地变更的，持有人通过国家局业务系统提交备案资料，按本程序第七条规定进行备案和审查。注册处将通过备案的药品品种信息抄送区局行政许可审批处（以下简称许可处），许可处在《药品生产许可证》副本变更记录页录入相应的药品品种名称。</w:t>
      </w:r>
    </w:p>
    <w:p>
      <w:pPr>
        <w:adjustRightInd w:val="0"/>
        <w:spacing w:line="550" w:lineRule="exact"/>
        <w:ind w:firstLine="624" w:firstLineChars="200"/>
        <w:rPr>
          <w:rFonts w:hAnsi="仿宋" w:cs="仿宋_GB2312"/>
          <w:kern w:val="32"/>
          <w:szCs w:val="32"/>
        </w:rPr>
      </w:pPr>
      <w:r>
        <w:rPr>
          <w:rFonts w:hint="eastAsia" w:ascii="黑体" w:hAnsi="黑体" w:eastAsia="黑体" w:cs="黑体"/>
          <w:kern w:val="32"/>
          <w:szCs w:val="32"/>
        </w:rPr>
        <w:t>第十三条</w:t>
      </w:r>
      <w:r>
        <w:rPr>
          <w:rFonts w:hint="eastAsia" w:hAnsi="仿宋" w:cs="仿宋_GB2312"/>
          <w:kern w:val="32"/>
          <w:szCs w:val="32"/>
        </w:rPr>
        <w:t xml:space="preserve">  持有人变更药品生产企业，受托方为跨省药品生产企业，持有人通过区局行政审批系统提交《药品生产许可证》许可事项变更（已上市药品生产场地变更）申请，一般由审评查验中心结合受托生产企业的GMP符合性检查情况及受托生产企业所在地省级药品监管部门出具的现场检查结论，组织药品生产场地变更技术审评。特殊情况下，也可由审评查验中心赴受托生产企业开展GMP符合性检查。</w:t>
      </w:r>
    </w:p>
    <w:p>
      <w:pPr>
        <w:adjustRightInd w:val="0"/>
        <w:spacing w:line="550" w:lineRule="exact"/>
        <w:ind w:firstLine="624" w:firstLineChars="200"/>
        <w:rPr>
          <w:rFonts w:hAnsi="仿宋"/>
          <w:kern w:val="32"/>
          <w:szCs w:val="32"/>
        </w:rPr>
      </w:pPr>
      <w:r>
        <w:rPr>
          <w:rFonts w:hint="eastAsia" w:ascii="黑体" w:hAnsi="黑体" w:eastAsia="黑体" w:cs="黑体"/>
          <w:kern w:val="32"/>
          <w:szCs w:val="32"/>
        </w:rPr>
        <w:t>第十四条</w:t>
      </w:r>
      <w:r>
        <w:rPr>
          <w:rFonts w:hint="eastAsia" w:hAnsi="仿宋"/>
          <w:kern w:val="32"/>
          <w:szCs w:val="32"/>
        </w:rPr>
        <w:t xml:space="preserve">  对于生物制品、多组分生化药、中药注射剂、特殊注射剂等高风险品种，以及通过（或视同通过）仿制药质量和疗效一致性评价品种的生产场地变更，现场检查还应当抽取3批样品并送具备资质的检验机构进行检验，无菌类产品可选择代表性品种进行抽样检验。其他产品抽检的品种、批次数量等由审评查验中心依据产品特点、风险和实际情况在检查方案中予以确定。</w:t>
      </w:r>
    </w:p>
    <w:p>
      <w:pPr>
        <w:adjustRightInd w:val="0"/>
        <w:spacing w:line="550" w:lineRule="exact"/>
        <w:ind w:firstLine="624" w:firstLineChars="200"/>
        <w:rPr>
          <w:rFonts w:hAnsi="仿宋" w:cs="仿宋_GB2312"/>
          <w:kern w:val="32"/>
          <w:szCs w:val="32"/>
          <w:lang w:bidi="ar"/>
        </w:rPr>
      </w:pPr>
      <w:r>
        <w:rPr>
          <w:rFonts w:hint="eastAsia" w:ascii="黑体" w:hAnsi="黑体" w:eastAsia="黑体" w:cs="黑体"/>
          <w:kern w:val="32"/>
          <w:szCs w:val="32"/>
        </w:rPr>
        <w:t>第十五条</w:t>
      </w:r>
      <w:r>
        <w:rPr>
          <w:rFonts w:hint="eastAsia" w:hAnsi="仿宋"/>
          <w:kern w:val="32"/>
          <w:szCs w:val="32"/>
        </w:rPr>
        <w:t xml:space="preserve">  审评查验</w:t>
      </w:r>
      <w:r>
        <w:rPr>
          <w:rFonts w:hint="eastAsia" w:hAnsi="仿宋" w:cs="仿宋_GB2312"/>
          <w:kern w:val="32"/>
          <w:szCs w:val="32"/>
          <w:lang w:bidi="ar"/>
        </w:rPr>
        <w:t>中心结合现场检查结论、技术审评意见以及样品检验结果（如需要）进行评定并形成结论明确的综合审评意见，许可处按照规定变更持有人《药品生产许可证》相关信息，在《药品生产许可证》副本变更记录页录入相应的药品品种名称，并及时将《药品生产许可证》审批结果书面抄送注册处。</w:t>
      </w:r>
    </w:p>
    <w:p>
      <w:pPr>
        <w:adjustRightInd w:val="0"/>
        <w:spacing w:line="550" w:lineRule="exact"/>
        <w:ind w:firstLine="624" w:firstLineChars="200"/>
        <w:rPr>
          <w:rFonts w:hAnsi="仿宋"/>
          <w:kern w:val="32"/>
          <w:szCs w:val="32"/>
        </w:rPr>
      </w:pPr>
      <w:r>
        <w:rPr>
          <w:rFonts w:hint="eastAsia" w:hAnsi="仿宋" w:cs="仿宋_GB2312"/>
          <w:kern w:val="32"/>
          <w:szCs w:val="32"/>
          <w:lang w:bidi="ar"/>
        </w:rPr>
        <w:t>注册处凭变更后的《药品生产许可证》，</w:t>
      </w:r>
      <w:r>
        <w:rPr>
          <w:rFonts w:hint="eastAsia" w:hAnsi="仿宋"/>
          <w:kern w:val="32"/>
          <w:szCs w:val="32"/>
        </w:rPr>
        <w:t>在国家局业务系统中对持有人药品注册批准证明文件及其附件载明的生产场地或生产企业的变更信息进行更新。</w:t>
      </w:r>
    </w:p>
    <w:p>
      <w:pPr>
        <w:adjustRightInd w:val="0"/>
        <w:spacing w:line="550" w:lineRule="exact"/>
        <w:ind w:firstLine="624" w:firstLineChars="200"/>
        <w:rPr>
          <w:rFonts w:hAnsi="仿宋"/>
          <w:kern w:val="32"/>
          <w:szCs w:val="32"/>
        </w:rPr>
      </w:pPr>
      <w:r>
        <w:rPr>
          <w:rFonts w:hint="eastAsia" w:ascii="黑体" w:hAnsi="黑体" w:eastAsia="黑体" w:cs="黑体"/>
          <w:kern w:val="32"/>
          <w:szCs w:val="32"/>
        </w:rPr>
        <w:t>第十六条</w:t>
      </w:r>
      <w:r>
        <w:rPr>
          <w:rFonts w:hint="eastAsia" w:hAnsi="仿宋"/>
          <w:kern w:val="32"/>
          <w:szCs w:val="32"/>
        </w:rPr>
        <w:t xml:space="preserve">  涉及药品注册批准证明文件及其附件载明的持有人名称、注册地址名称、生产企业名称、生产地址名称等登记事项变更的，持有人应通过区局行政审批系统提交相关登记事项变更申请及申报资料。《药品生产许可证》相应事项变更后，持有人按本程序第五条规定，对药品注册批准证明文件相应的管理信息提出变更备案。</w:t>
      </w:r>
    </w:p>
    <w:p>
      <w:pPr>
        <w:adjustRightInd w:val="0"/>
        <w:spacing w:line="550" w:lineRule="exact"/>
        <w:ind w:firstLine="624" w:firstLineChars="200"/>
        <w:rPr>
          <w:rFonts w:ascii="华文中宋" w:hAnsi="华文中宋" w:eastAsia="华文中宋" w:cs="华文中宋"/>
          <w:kern w:val="32"/>
          <w:sz w:val="36"/>
          <w:szCs w:val="30"/>
        </w:rPr>
      </w:pPr>
      <w:r>
        <w:rPr>
          <w:rFonts w:hint="eastAsia" w:ascii="黑体" w:hAnsi="黑体" w:eastAsia="黑体" w:cs="黑体"/>
          <w:kern w:val="32"/>
          <w:szCs w:val="32"/>
        </w:rPr>
        <w:t xml:space="preserve">第十七条  </w:t>
      </w:r>
      <w:r>
        <w:rPr>
          <w:rFonts w:hint="eastAsia" w:hAnsi="仿宋"/>
          <w:kern w:val="32"/>
          <w:szCs w:val="32"/>
        </w:rPr>
        <w:t>变更药品生产场地的同时，药品生产工艺、处方、质量标准等其他注册管理事项发生重大或中等变更，</w:t>
      </w:r>
      <w:r>
        <w:rPr>
          <w:rFonts w:hint="eastAsia" w:hAnsi="仿宋"/>
          <w:color w:val="000000"/>
          <w:kern w:val="32"/>
          <w:szCs w:val="32"/>
        </w:rPr>
        <w:t>持有人的部分产品研究、评估和验证等相关资料不能及时提交的，</w:t>
      </w:r>
      <w:r>
        <w:rPr>
          <w:rFonts w:hint="eastAsia" w:hAnsi="仿宋"/>
          <w:kern w:val="32"/>
          <w:szCs w:val="32"/>
        </w:rPr>
        <w:t>在国家局业务系统信息更新时应注明“该药品同时发生（药品生产工艺、处方、质量标准等）变更，获得批准或备案完成后方可生产上市”，持有人还应就其他注册管理变更事项提出补充申请或备案。</w:t>
      </w:r>
      <w:r>
        <w:rPr>
          <w:rFonts w:hint="eastAsia" w:ascii="华文中宋" w:hAnsi="华文中宋" w:eastAsia="华文中宋" w:cs="华文中宋"/>
          <w:kern w:val="32"/>
          <w:sz w:val="36"/>
          <w:szCs w:val="30"/>
        </w:rPr>
        <w:t xml:space="preserve"> </w:t>
      </w:r>
    </w:p>
    <w:p>
      <w:pPr>
        <w:adjustRightInd w:val="0"/>
        <w:jc w:val="center"/>
        <w:rPr>
          <w:rFonts w:ascii="黑体" w:hAnsi="黑体" w:eastAsia="黑体"/>
        </w:rPr>
      </w:pPr>
      <w:r>
        <w:rPr>
          <w:rFonts w:hint="eastAsia" w:ascii="黑体" w:hAnsi="黑体" w:eastAsia="黑体"/>
        </w:rPr>
        <w:t>第四章  关联事项变更管理</w:t>
      </w:r>
    </w:p>
    <w:p>
      <w:pPr>
        <w:adjustRightInd w:val="0"/>
        <w:ind w:firstLine="624" w:firstLineChars="200"/>
        <w:rPr>
          <w:rFonts w:ascii="黑体" w:hAnsi="黑体" w:eastAsia="黑体"/>
        </w:rPr>
      </w:pPr>
    </w:p>
    <w:p>
      <w:pPr>
        <w:adjustRightInd w:val="0"/>
        <w:ind w:firstLine="624" w:firstLineChars="200"/>
        <w:rPr>
          <w:rFonts w:hAnsi="仿宋"/>
          <w:color w:val="000000"/>
          <w:szCs w:val="32"/>
        </w:rPr>
      </w:pPr>
      <w:r>
        <w:rPr>
          <w:rFonts w:hint="eastAsia" w:ascii="黑体" w:hAnsi="黑体" w:eastAsia="黑体" w:cs="黑体"/>
          <w:szCs w:val="32"/>
        </w:rPr>
        <w:t xml:space="preserve">第十八条  </w:t>
      </w:r>
      <w:r>
        <w:rPr>
          <w:rFonts w:hint="eastAsia" w:hAnsi="仿宋"/>
          <w:color w:val="000000"/>
          <w:szCs w:val="32"/>
        </w:rPr>
        <w:t>上市后药品某一项变更引发其他关联</w:t>
      </w:r>
      <w:r>
        <w:rPr>
          <w:rFonts w:hAnsi="仿宋"/>
          <w:color w:val="000000"/>
          <w:szCs w:val="32"/>
        </w:rPr>
        <w:t>变更</w:t>
      </w:r>
      <w:r>
        <w:rPr>
          <w:rFonts w:hint="eastAsia" w:hAnsi="仿宋"/>
          <w:color w:val="000000"/>
          <w:szCs w:val="32"/>
        </w:rPr>
        <w:t>的</w:t>
      </w:r>
      <w:r>
        <w:rPr>
          <w:rFonts w:hAnsi="仿宋"/>
          <w:color w:val="000000"/>
          <w:szCs w:val="32"/>
        </w:rPr>
        <w:t>，</w:t>
      </w:r>
      <w:r>
        <w:rPr>
          <w:rFonts w:hint="eastAsia" w:hAnsi="仿宋"/>
          <w:color w:val="000000"/>
          <w:szCs w:val="32"/>
        </w:rPr>
        <w:t>持有人按照不同变更类别相应技术要求开展研究工作时，研究工作总体上应按照技术要求较高的变更类别进行，并关注多项关联变更对药品安全性、有效性和质量可控性产生的叠加影响。</w:t>
      </w:r>
    </w:p>
    <w:p>
      <w:pPr>
        <w:adjustRightInd w:val="0"/>
        <w:ind w:firstLine="624" w:firstLineChars="200"/>
        <w:rPr>
          <w:rFonts w:hAnsi="仿宋"/>
          <w:color w:val="000000"/>
          <w:szCs w:val="32"/>
        </w:rPr>
      </w:pPr>
      <w:r>
        <w:rPr>
          <w:rFonts w:hint="eastAsia" w:ascii="黑体" w:hAnsi="黑体" w:eastAsia="黑体" w:cs="黑体"/>
          <w:color w:val="000000"/>
          <w:szCs w:val="32"/>
        </w:rPr>
        <w:t>第十九条</w:t>
      </w:r>
      <w:r>
        <w:rPr>
          <w:rFonts w:hint="eastAsia" w:hAnsi="仿宋"/>
          <w:color w:val="000000"/>
          <w:szCs w:val="32"/>
        </w:rPr>
        <w:t xml:space="preserve">  药品同时发生审批类和备案类变更，或备案类变更是以审批类变更获得批准为前提时，持有人可以将审批类变更和备案类变更合并申报国家药审中心进行技术审评。持有人也可单独就审批类变更向国家药审中心提出补充申请，获得批准后，再就备案类变更向区局提出备案。</w:t>
      </w:r>
    </w:p>
    <w:p>
      <w:pPr>
        <w:adjustRightInd w:val="0"/>
        <w:ind w:firstLine="624" w:firstLineChars="200"/>
        <w:rPr>
          <w:rFonts w:hAnsi="仿宋"/>
          <w:color w:val="000000"/>
          <w:szCs w:val="32"/>
        </w:rPr>
      </w:pPr>
      <w:r>
        <w:rPr>
          <w:rFonts w:hint="eastAsia" w:ascii="黑体" w:hAnsi="黑体" w:eastAsia="黑体" w:cs="黑体"/>
          <w:szCs w:val="32"/>
        </w:rPr>
        <w:t>第二十条</w:t>
      </w:r>
      <w:r>
        <w:rPr>
          <w:rFonts w:hint="eastAsia" w:hAnsi="仿宋"/>
          <w:color w:val="000000"/>
          <w:szCs w:val="32"/>
        </w:rPr>
        <w:t xml:space="preserve">  发生一项或多项关联变更，</w:t>
      </w:r>
      <w:r>
        <w:rPr>
          <w:rFonts w:hAnsi="仿宋"/>
          <w:color w:val="000000"/>
          <w:szCs w:val="32"/>
        </w:rPr>
        <w:t>所涉及的关联变更均为微小变更的，根据现行技术指导原则开展研究后，</w:t>
      </w:r>
      <w:r>
        <w:rPr>
          <w:rFonts w:hint="eastAsia" w:hAnsi="仿宋"/>
          <w:color w:val="000000"/>
          <w:szCs w:val="32"/>
        </w:rPr>
        <w:t>持有人</w:t>
      </w:r>
      <w:r>
        <w:rPr>
          <w:rFonts w:hAnsi="仿宋"/>
          <w:color w:val="000000"/>
          <w:szCs w:val="32"/>
        </w:rPr>
        <w:t>将所涉及微小变更事项集中在年度报告中提交。</w:t>
      </w:r>
    </w:p>
    <w:p>
      <w:pPr>
        <w:adjustRightInd w:val="0"/>
        <w:ind w:firstLine="624" w:firstLineChars="200"/>
        <w:rPr>
          <w:rFonts w:hAnsi="仿宋"/>
          <w:color w:val="000000"/>
          <w:szCs w:val="32"/>
        </w:rPr>
      </w:pPr>
      <w:r>
        <w:rPr>
          <w:rFonts w:hint="eastAsia" w:ascii="黑体" w:hAnsi="黑体" w:eastAsia="黑体" w:cs="黑体"/>
          <w:color w:val="000000"/>
          <w:szCs w:val="32"/>
        </w:rPr>
        <w:t>第二十一条</w:t>
      </w:r>
      <w:r>
        <w:rPr>
          <w:rFonts w:hint="eastAsia" w:hAnsi="仿宋"/>
          <w:color w:val="000000"/>
          <w:szCs w:val="32"/>
        </w:rPr>
        <w:t xml:space="preserve">  </w:t>
      </w:r>
      <w:r>
        <w:rPr>
          <w:rFonts w:hAnsi="仿宋"/>
          <w:color w:val="000000"/>
          <w:szCs w:val="32"/>
        </w:rPr>
        <w:t>发生一或多项关联变更，所涉及的关联变更均为中等变更的，</w:t>
      </w:r>
      <w:r>
        <w:rPr>
          <w:rFonts w:hint="eastAsia" w:hAnsi="仿宋"/>
          <w:color w:val="000000"/>
          <w:szCs w:val="32"/>
        </w:rPr>
        <w:t>持有</w:t>
      </w:r>
      <w:r>
        <w:rPr>
          <w:rFonts w:hAnsi="仿宋"/>
          <w:color w:val="000000"/>
          <w:szCs w:val="32"/>
        </w:rPr>
        <w:t>人根据现行技术指导原则开展研究后，</w:t>
      </w:r>
      <w:r>
        <w:rPr>
          <w:rFonts w:hint="eastAsia" w:hAnsi="仿宋"/>
          <w:color w:val="000000"/>
          <w:szCs w:val="32"/>
        </w:rPr>
        <w:t>综合评价风险程度，确定变更类别。其中，</w:t>
      </w:r>
      <w:r>
        <w:rPr>
          <w:rFonts w:hAnsi="仿宋"/>
          <w:color w:val="000000"/>
          <w:szCs w:val="32"/>
        </w:rPr>
        <w:t>药学研究资料应当结合产品的剂型、处方、生产工艺等，覆盖所涉及各项变更的研究工作。</w:t>
      </w:r>
    </w:p>
    <w:p>
      <w:pPr>
        <w:adjustRightInd w:val="0"/>
        <w:ind w:firstLine="624" w:firstLineChars="200"/>
        <w:rPr>
          <w:rFonts w:hAnsi="仿宋"/>
          <w:color w:val="000000"/>
          <w:szCs w:val="32"/>
        </w:rPr>
      </w:pPr>
      <w:r>
        <w:rPr>
          <w:rFonts w:hint="eastAsia" w:ascii="黑体" w:hAnsi="黑体" w:eastAsia="黑体" w:cs="黑体"/>
          <w:color w:val="000000"/>
          <w:szCs w:val="32"/>
        </w:rPr>
        <w:t>第二十二条</w:t>
      </w:r>
      <w:r>
        <w:rPr>
          <w:rFonts w:hint="eastAsia" w:hAnsi="仿宋"/>
          <w:color w:val="000000"/>
          <w:szCs w:val="32"/>
        </w:rPr>
        <w:t xml:space="preserve">  </w:t>
      </w:r>
      <w:r>
        <w:rPr>
          <w:rFonts w:hAnsi="仿宋"/>
          <w:color w:val="000000"/>
          <w:szCs w:val="32"/>
        </w:rPr>
        <w:t>发生一或多项关联变更，所涉及的关联变更含重大变更的，</w:t>
      </w:r>
      <w:r>
        <w:rPr>
          <w:rFonts w:hint="eastAsia" w:hAnsi="仿宋"/>
          <w:color w:val="000000"/>
          <w:szCs w:val="32"/>
        </w:rPr>
        <w:t>持有</w:t>
      </w:r>
      <w:r>
        <w:rPr>
          <w:rFonts w:hAnsi="仿宋"/>
          <w:color w:val="000000"/>
          <w:szCs w:val="32"/>
        </w:rPr>
        <w:t>人根据现行技术指导原则开展研究后，还应将所涉及重大变更事项以补充申请的形式提交国家药审中心。</w:t>
      </w:r>
    </w:p>
    <w:p>
      <w:pPr>
        <w:adjustRightInd w:val="0"/>
        <w:ind w:firstLine="624" w:firstLineChars="200"/>
        <w:rPr>
          <w:rFonts w:hAnsi="仿宋"/>
          <w:color w:val="000000"/>
          <w:szCs w:val="32"/>
        </w:rPr>
      </w:pPr>
      <w:r>
        <w:rPr>
          <w:rFonts w:hint="eastAsia" w:ascii="黑体" w:hAnsi="黑体" w:eastAsia="黑体" w:cs="黑体"/>
          <w:color w:val="000000"/>
          <w:szCs w:val="32"/>
        </w:rPr>
        <w:t>第二十三条</w:t>
      </w:r>
      <w:r>
        <w:rPr>
          <w:rFonts w:hint="eastAsia" w:hAnsi="仿宋"/>
          <w:color w:val="000000"/>
          <w:szCs w:val="32"/>
        </w:rPr>
        <w:t xml:space="preserve">  对含有药品生产</w:t>
      </w:r>
      <w:r>
        <w:rPr>
          <w:rFonts w:hAnsi="仿宋"/>
          <w:color w:val="000000"/>
          <w:szCs w:val="32"/>
        </w:rPr>
        <w:t>场地</w:t>
      </w:r>
      <w:r>
        <w:rPr>
          <w:rFonts w:hint="eastAsia" w:hAnsi="仿宋"/>
          <w:color w:val="000000"/>
          <w:szCs w:val="32"/>
        </w:rPr>
        <w:t>或生产范围变更的</w:t>
      </w:r>
      <w:r>
        <w:rPr>
          <w:rFonts w:hAnsi="仿宋"/>
          <w:color w:val="000000"/>
          <w:szCs w:val="32"/>
        </w:rPr>
        <w:t>一或多项关联变更，</w:t>
      </w:r>
      <w:r>
        <w:rPr>
          <w:rFonts w:hint="eastAsia" w:hAnsi="仿宋"/>
          <w:color w:val="000000"/>
          <w:szCs w:val="32"/>
        </w:rPr>
        <w:t>持有人按本程序第三章进行《药品生产许可证》</w:t>
      </w:r>
      <w:r>
        <w:rPr>
          <w:rFonts w:hAnsi="仿宋"/>
          <w:color w:val="000000"/>
          <w:szCs w:val="32"/>
        </w:rPr>
        <w:t>变更</w:t>
      </w:r>
      <w:r>
        <w:rPr>
          <w:rFonts w:hint="eastAsia" w:hAnsi="仿宋"/>
          <w:color w:val="000000"/>
          <w:szCs w:val="32"/>
        </w:rPr>
        <w:t>；其所涉及的药品注册管理事项变更，应按照本程序相关规定进行补充申请、备案或报告。持有人可以同时申请，也可以分别申请。</w:t>
      </w:r>
    </w:p>
    <w:p>
      <w:pPr>
        <w:adjustRightInd w:val="0"/>
        <w:ind w:firstLine="624" w:firstLineChars="200"/>
        <w:rPr>
          <w:rFonts w:hAnsi="仿宋"/>
          <w:szCs w:val="32"/>
        </w:rPr>
      </w:pPr>
      <w:r>
        <w:rPr>
          <w:rFonts w:hint="eastAsia" w:ascii="黑体" w:hAnsi="黑体" w:eastAsia="黑体" w:cs="黑体"/>
          <w:color w:val="000000"/>
          <w:szCs w:val="32"/>
        </w:rPr>
        <w:t>第二十四条</w:t>
      </w:r>
      <w:r>
        <w:rPr>
          <w:rFonts w:hint="eastAsia" w:hAnsi="仿宋"/>
          <w:color w:val="000000"/>
          <w:szCs w:val="32"/>
        </w:rPr>
        <w:t xml:space="preserve">  以下变更情形，</w:t>
      </w:r>
      <w:r>
        <w:rPr>
          <w:rFonts w:hint="eastAsia" w:hAnsi="仿宋"/>
          <w:szCs w:val="32"/>
        </w:rPr>
        <w:t>持有人应按国家局业务系统中“需要备案的其他事项”进行备案；需要技术审评和现场核查和/或检验的，按照本程序第七条规定办理。</w:t>
      </w:r>
    </w:p>
    <w:p>
      <w:pPr>
        <w:adjustRightInd w:val="0"/>
        <w:ind w:firstLine="624" w:firstLineChars="200"/>
        <w:rPr>
          <w:rFonts w:hAnsi="仿宋"/>
          <w:color w:val="000000"/>
          <w:szCs w:val="32"/>
        </w:rPr>
      </w:pPr>
      <w:r>
        <w:rPr>
          <w:rFonts w:hint="eastAsia" w:hAnsi="仿宋"/>
          <w:szCs w:val="32"/>
        </w:rPr>
        <w:t>（一）</w:t>
      </w:r>
      <w:r>
        <w:rPr>
          <w:rFonts w:hint="eastAsia" w:hAnsi="仿宋"/>
          <w:color w:val="000000"/>
          <w:szCs w:val="32"/>
        </w:rPr>
        <w:t>在一个或几个再注册周期内未生产，申请恢复生产的；</w:t>
      </w:r>
    </w:p>
    <w:p>
      <w:pPr>
        <w:adjustRightInd w:val="0"/>
        <w:ind w:firstLine="624" w:firstLineChars="200"/>
        <w:rPr>
          <w:rFonts w:hAnsi="仿宋"/>
          <w:color w:val="000000"/>
          <w:szCs w:val="32"/>
        </w:rPr>
      </w:pPr>
      <w:r>
        <w:rPr>
          <w:rFonts w:hint="eastAsia" w:hAnsi="仿宋"/>
          <w:szCs w:val="32"/>
        </w:rPr>
        <w:t>（二）对以往持有人变更生产地址未进行验证研究的品种申请恢复生产的</w:t>
      </w:r>
      <w:r>
        <w:rPr>
          <w:rFonts w:hint="eastAsia" w:hAnsi="仿宋"/>
          <w:color w:val="000000"/>
          <w:szCs w:val="32"/>
        </w:rPr>
        <w:t>；</w:t>
      </w:r>
    </w:p>
    <w:p>
      <w:pPr>
        <w:adjustRightInd w:val="0"/>
        <w:ind w:firstLine="624" w:firstLineChars="200"/>
        <w:rPr>
          <w:rFonts w:hAnsi="仿宋"/>
          <w:szCs w:val="32"/>
        </w:rPr>
      </w:pPr>
      <w:r>
        <w:rPr>
          <w:rFonts w:hint="eastAsia" w:hAnsi="仿宋"/>
          <w:color w:val="000000"/>
          <w:szCs w:val="32"/>
        </w:rPr>
        <w:t>（三）</w:t>
      </w:r>
      <w:r>
        <w:rPr>
          <w:rFonts w:hint="eastAsia" w:hAnsi="仿宋"/>
          <w:szCs w:val="32"/>
        </w:rPr>
        <w:t>持有人</w:t>
      </w:r>
      <w:r>
        <w:rPr>
          <w:rFonts w:hint="eastAsia" w:hAnsi="仿宋"/>
          <w:color w:val="000000"/>
          <w:szCs w:val="32"/>
        </w:rPr>
        <w:t>《药品生产许可证》生产地址</w:t>
      </w:r>
      <w:r>
        <w:rPr>
          <w:rFonts w:hint="eastAsia" w:hAnsi="仿宋"/>
          <w:szCs w:val="32"/>
        </w:rPr>
        <w:t>已经变更或增加生产地址，但品种生产场地未进行变更的；</w:t>
      </w:r>
    </w:p>
    <w:p>
      <w:pPr>
        <w:adjustRightInd w:val="0"/>
        <w:ind w:firstLine="624" w:firstLineChars="200"/>
        <w:rPr>
          <w:rFonts w:hAnsi="仿宋"/>
          <w:color w:val="000000"/>
          <w:szCs w:val="32"/>
        </w:rPr>
      </w:pPr>
      <w:r>
        <w:rPr>
          <w:rFonts w:hint="eastAsia" w:hAnsi="仿宋"/>
          <w:szCs w:val="32"/>
        </w:rPr>
        <w:t>（四）</w:t>
      </w:r>
      <w:r>
        <w:rPr>
          <w:rFonts w:hint="eastAsia" w:hAnsi="仿宋"/>
          <w:color w:val="000000"/>
          <w:szCs w:val="32"/>
        </w:rPr>
        <w:t>未在本程序规定范围内其他需要生产的。</w:t>
      </w:r>
    </w:p>
    <w:p>
      <w:pPr>
        <w:adjustRightInd w:val="0"/>
        <w:ind w:firstLine="624" w:firstLineChars="200"/>
        <w:rPr>
          <w:rFonts w:hAnsi="仿宋"/>
          <w:color w:val="000000"/>
          <w:szCs w:val="32"/>
        </w:rPr>
      </w:pPr>
    </w:p>
    <w:p>
      <w:pPr>
        <w:adjustRightInd w:val="0"/>
        <w:jc w:val="center"/>
        <w:rPr>
          <w:rFonts w:ascii="黑体" w:hAnsi="黑体" w:eastAsia="黑体"/>
        </w:rPr>
      </w:pPr>
      <w:r>
        <w:rPr>
          <w:rFonts w:hint="eastAsia" w:ascii="黑体" w:hAnsi="黑体" w:eastAsia="黑体"/>
        </w:rPr>
        <w:t>第五章  变更备案的监督管理</w:t>
      </w:r>
    </w:p>
    <w:p>
      <w:pPr>
        <w:adjustRightInd w:val="0"/>
        <w:ind w:firstLine="624" w:firstLineChars="200"/>
        <w:rPr>
          <w:rFonts w:ascii="黑体" w:hAnsi="黑体" w:eastAsia="黑体" w:cs="黑体"/>
          <w:szCs w:val="32"/>
        </w:rPr>
      </w:pPr>
    </w:p>
    <w:p>
      <w:pPr>
        <w:adjustRightInd w:val="0"/>
        <w:ind w:firstLine="624" w:firstLineChars="200"/>
        <w:rPr>
          <w:rFonts w:hAnsi="仿宋"/>
          <w:szCs w:val="32"/>
        </w:rPr>
      </w:pPr>
      <w:r>
        <w:rPr>
          <w:rFonts w:hint="eastAsia" w:ascii="黑体" w:hAnsi="黑体" w:eastAsia="黑体" w:cs="黑体"/>
          <w:szCs w:val="32"/>
        </w:rPr>
        <w:t xml:space="preserve">第二十五条 </w:t>
      </w:r>
      <w:r>
        <w:rPr>
          <w:rFonts w:hint="eastAsia" w:hAnsi="仿宋"/>
          <w:szCs w:val="32"/>
        </w:rPr>
        <w:t xml:space="preserve"> 加强对药品上市后变更的监督管理，对持有人变更控制体系进行监督检查，督促其履行变更管理责任。</w:t>
      </w:r>
    </w:p>
    <w:p>
      <w:pPr>
        <w:adjustRightInd w:val="0"/>
        <w:ind w:firstLine="624" w:firstLineChars="200"/>
        <w:rPr>
          <w:rFonts w:hAnsi="仿宋"/>
          <w:szCs w:val="32"/>
        </w:rPr>
      </w:pPr>
      <w:r>
        <w:rPr>
          <w:rFonts w:hint="eastAsia" w:ascii="黑体" w:hAnsi="黑体" w:eastAsia="黑体" w:cs="黑体"/>
          <w:szCs w:val="32"/>
        </w:rPr>
        <w:t xml:space="preserve">第二十六条  </w:t>
      </w:r>
      <w:r>
        <w:rPr>
          <w:rFonts w:hint="eastAsia" w:hAnsi="仿宋"/>
          <w:szCs w:val="32"/>
        </w:rPr>
        <w:t>持有人提供虚假资料的、未经批准在药品生产过程中进行重大变更、未按照规定对药品生产过程中的变更进行备案或报告的，按照《药品管理法》相关规定依法处理。</w:t>
      </w:r>
    </w:p>
    <w:p>
      <w:pPr>
        <w:adjustRightInd w:val="0"/>
        <w:ind w:firstLine="624" w:firstLineChars="200"/>
        <w:rPr>
          <w:rFonts w:hAnsi="仿宋"/>
          <w:szCs w:val="32"/>
        </w:rPr>
      </w:pPr>
    </w:p>
    <w:p>
      <w:pPr>
        <w:adjustRightInd w:val="0"/>
        <w:jc w:val="center"/>
        <w:rPr>
          <w:rFonts w:ascii="黑体" w:hAnsi="黑体" w:eastAsia="黑体"/>
        </w:rPr>
      </w:pPr>
      <w:r>
        <w:rPr>
          <w:rFonts w:hint="eastAsia" w:ascii="黑体" w:hAnsi="黑体" w:eastAsia="黑体"/>
        </w:rPr>
        <w:t>第六章  附  则</w:t>
      </w:r>
    </w:p>
    <w:p>
      <w:pPr>
        <w:adjustRightInd w:val="0"/>
        <w:ind w:firstLine="624" w:firstLineChars="200"/>
        <w:rPr>
          <w:rFonts w:ascii="黑体" w:hAnsi="黑体" w:eastAsia="黑体" w:cs="黑体"/>
          <w:szCs w:val="32"/>
        </w:rPr>
      </w:pPr>
    </w:p>
    <w:p>
      <w:pPr>
        <w:adjustRightInd w:val="0"/>
        <w:ind w:firstLine="624" w:firstLineChars="200"/>
        <w:rPr>
          <w:rFonts w:ascii="仿宋_GB2312" w:hAnsi="仿宋_GB2312" w:eastAsia="仿宋_GB2312" w:cs="仿宋_GB2312"/>
          <w:szCs w:val="32"/>
        </w:rPr>
      </w:pPr>
      <w:r>
        <w:rPr>
          <w:rFonts w:hint="eastAsia" w:ascii="黑体" w:hAnsi="黑体" w:eastAsia="黑体" w:cs="黑体"/>
          <w:szCs w:val="32"/>
        </w:rPr>
        <w:t>第二十七条</w:t>
      </w:r>
      <w:r>
        <w:rPr>
          <w:rFonts w:hint="eastAsia" w:hAnsi="仿宋"/>
          <w:szCs w:val="32"/>
        </w:rPr>
        <w:t xml:space="preserve"> </w:t>
      </w:r>
      <w:r>
        <w:rPr>
          <w:rFonts w:hint="eastAsia" w:hAnsi="仿宋"/>
          <w:color w:val="000000"/>
          <w:kern w:val="0"/>
          <w:szCs w:val="32"/>
        </w:rPr>
        <w:t xml:space="preserve"> </w:t>
      </w:r>
      <w:r>
        <w:rPr>
          <w:rFonts w:hint="eastAsia" w:hAnsi="仿宋" w:cs="仿宋_GB2312"/>
          <w:color w:val="333333"/>
          <w:szCs w:val="32"/>
        </w:rPr>
        <w:t>医疗用毒性药品、麻醉药品、精神药品、放射性药品、生物制品等变更管理有专门规定的，从其规定。</w:t>
      </w:r>
    </w:p>
    <w:p>
      <w:pPr>
        <w:adjustRightInd w:val="0"/>
        <w:ind w:firstLine="624" w:firstLineChars="200"/>
        <w:rPr>
          <w:rFonts w:hAnsi="仿宋" w:cs="仿宋_GB2312"/>
          <w:szCs w:val="32"/>
        </w:rPr>
      </w:pPr>
      <w:r>
        <w:rPr>
          <w:rFonts w:hint="eastAsia" w:ascii="黑体" w:hAnsi="黑体" w:eastAsia="黑体" w:cs="黑体"/>
          <w:szCs w:val="32"/>
        </w:rPr>
        <w:t>第二十八条</w:t>
      </w:r>
      <w:r>
        <w:rPr>
          <w:rFonts w:hint="eastAsia" w:hAnsi="仿宋"/>
          <w:color w:val="000000"/>
          <w:kern w:val="0"/>
          <w:szCs w:val="32"/>
        </w:rPr>
        <w:t xml:space="preserve">  </w:t>
      </w:r>
      <w:r>
        <w:rPr>
          <w:rFonts w:hint="eastAsia" w:hAnsi="仿宋" w:cs="仿宋_GB2312"/>
          <w:szCs w:val="32"/>
        </w:rPr>
        <w:t>已经通过审评审批的原料药（</w:t>
      </w:r>
      <w:r>
        <w:rPr>
          <w:rFonts w:hAnsi="仿宋"/>
          <w:szCs w:val="32"/>
        </w:rPr>
        <w:t>在原辅包登记备案平台上</w:t>
      </w:r>
      <w:r>
        <w:rPr>
          <w:rFonts w:hint="eastAsia" w:hAnsi="仿宋" w:cs="仿宋_GB2312"/>
          <w:szCs w:val="32"/>
        </w:rPr>
        <w:t>登记状态为“A”）进行生产场地变更以及其他备案类变更，适用</w:t>
      </w:r>
      <w:r>
        <w:rPr>
          <w:rFonts w:hint="eastAsia" w:hAnsi="仿宋"/>
          <w:szCs w:val="32"/>
        </w:rPr>
        <w:t>本工作程序</w:t>
      </w:r>
      <w:r>
        <w:rPr>
          <w:rFonts w:hint="eastAsia" w:hAnsi="仿宋" w:cs="仿宋_GB2312"/>
          <w:szCs w:val="32"/>
        </w:rPr>
        <w:t>。</w:t>
      </w:r>
    </w:p>
    <w:p>
      <w:pPr>
        <w:adjustRightInd w:val="0"/>
        <w:ind w:firstLine="624" w:firstLineChars="200"/>
        <w:rPr>
          <w:rFonts w:hAnsi="仿宋"/>
          <w:szCs w:val="32"/>
        </w:rPr>
      </w:pPr>
      <w:r>
        <w:rPr>
          <w:rFonts w:hint="eastAsia" w:ascii="黑体" w:hAnsi="黑体" w:eastAsia="黑体" w:cs="黑体"/>
          <w:szCs w:val="32"/>
        </w:rPr>
        <w:t xml:space="preserve">第二十九条  </w:t>
      </w:r>
      <w:r>
        <w:rPr>
          <w:rFonts w:hint="eastAsia" w:hAnsi="仿宋"/>
          <w:szCs w:val="32"/>
        </w:rPr>
        <w:t>本程序中药品上市后变更管理涉及药品GMP符合性检查的，按《自治区药品监督管理局关于实施药品GMP符合性检查有关事宜的通告（试行）》（2021年 第2号）相关规定执行。</w:t>
      </w:r>
    </w:p>
    <w:p>
      <w:pPr>
        <w:adjustRightInd w:val="0"/>
        <w:ind w:firstLine="624" w:firstLineChars="200"/>
        <w:rPr>
          <w:rFonts w:hAnsi="仿宋"/>
          <w:szCs w:val="32"/>
        </w:rPr>
      </w:pPr>
      <w:r>
        <w:rPr>
          <w:rFonts w:hint="eastAsia" w:ascii="黑体" w:hAnsi="黑体" w:eastAsia="黑体" w:cs="黑体"/>
          <w:szCs w:val="32"/>
        </w:rPr>
        <w:t>第三十条</w:t>
      </w:r>
      <w:r>
        <w:rPr>
          <w:rFonts w:hint="eastAsia" w:hAnsi="仿宋"/>
          <w:szCs w:val="32"/>
        </w:rPr>
        <w:t xml:space="preserve">  持有人按照《药品上市后变更管理办法（试行）》及相关变更研究技术指导原则、相应变更事项及申报资料要求提交申报资料。</w:t>
      </w:r>
    </w:p>
    <w:p>
      <w:pPr>
        <w:adjustRightInd w:val="0"/>
        <w:ind w:firstLine="624" w:firstLineChars="200"/>
        <w:rPr>
          <w:rFonts w:hAnsi="仿宋"/>
          <w:szCs w:val="32"/>
        </w:rPr>
      </w:pPr>
      <w:r>
        <w:rPr>
          <w:rFonts w:hint="eastAsia" w:ascii="黑体" w:hAnsi="黑体" w:eastAsia="黑体" w:cs="黑体"/>
          <w:szCs w:val="32"/>
        </w:rPr>
        <w:t xml:space="preserve">第三十一条  </w:t>
      </w:r>
      <w:r>
        <w:rPr>
          <w:rFonts w:hint="eastAsia" w:hAnsi="仿宋"/>
          <w:szCs w:val="32"/>
        </w:rPr>
        <w:t>本工作程序规定的期限以工作日计算。</w:t>
      </w:r>
    </w:p>
    <w:p>
      <w:pPr>
        <w:adjustRightInd w:val="0"/>
        <w:ind w:firstLine="624" w:firstLineChars="200"/>
        <w:rPr>
          <w:rFonts w:hAnsi="仿宋"/>
          <w:szCs w:val="32"/>
        </w:rPr>
      </w:pPr>
      <w:r>
        <w:rPr>
          <w:rFonts w:hint="eastAsia" w:ascii="黑体" w:hAnsi="黑体" w:eastAsia="黑体" w:cs="黑体"/>
          <w:szCs w:val="32"/>
        </w:rPr>
        <w:t>第三十二条</w:t>
      </w:r>
      <w:r>
        <w:rPr>
          <w:rFonts w:hint="eastAsia" w:hAnsi="仿宋"/>
          <w:szCs w:val="32"/>
        </w:rPr>
        <w:t xml:space="preserve">  本工作程序自印发之日起施行，有效期2年。后续国家药品监督管理局发布实施新的政策文件，从其规定。</w:t>
      </w:r>
    </w:p>
    <w:p>
      <w:pPr>
        <w:adjustRightInd w:val="0"/>
        <w:ind w:firstLine="624" w:firstLineChars="200"/>
        <w:rPr>
          <w:rFonts w:hAnsi="仿宋"/>
          <w:szCs w:val="32"/>
        </w:rPr>
      </w:pPr>
    </w:p>
    <w:p>
      <w:pPr>
        <w:adjustRightInd w:val="0"/>
        <w:ind w:firstLine="624" w:firstLineChars="200"/>
        <w:rPr>
          <w:rFonts w:hAnsi="仿宋"/>
          <w:szCs w:val="32"/>
        </w:rPr>
      </w:pPr>
      <w:r>
        <w:rPr>
          <w:rFonts w:hint="eastAsia" w:hAnsi="仿宋"/>
          <w:szCs w:val="32"/>
        </w:rPr>
        <w:t>附件：1.药品上市后变更备案事项目录</w:t>
      </w:r>
    </w:p>
    <w:p>
      <w:pPr>
        <w:adjustRightInd w:val="0"/>
        <w:ind w:firstLine="1560" w:firstLineChars="500"/>
        <w:rPr>
          <w:rFonts w:cs="宋体"/>
          <w:szCs w:val="32"/>
        </w:rPr>
      </w:pPr>
      <w:r>
        <w:rPr>
          <w:rFonts w:hint="eastAsia" w:hAnsi="仿宋"/>
          <w:szCs w:val="32"/>
        </w:rPr>
        <w:t>2.已上市药品变更备案审评意见</w:t>
      </w:r>
    </w:p>
    <w:p>
      <w:pPr>
        <w:adjustRightInd w:val="0"/>
        <w:rPr>
          <w:rFonts w:cs="宋体"/>
          <w:szCs w:val="32"/>
        </w:rPr>
      </w:pPr>
    </w:p>
    <w:p>
      <w:pPr>
        <w:adjustRightInd w:val="0"/>
        <w:rPr>
          <w:rFonts w:cs="宋体"/>
          <w:szCs w:val="32"/>
        </w:rPr>
      </w:pPr>
    </w:p>
    <w:p>
      <w:pPr>
        <w:adjustRightInd w:val="0"/>
        <w:rPr>
          <w:rFonts w:cs="宋体"/>
          <w:szCs w:val="32"/>
        </w:rPr>
      </w:pPr>
    </w:p>
    <w:p>
      <w:pPr>
        <w:adjustRightInd w:val="0"/>
        <w:rPr>
          <w:rFonts w:cs="宋体"/>
          <w:szCs w:val="32"/>
        </w:rPr>
        <w:sectPr>
          <w:footerReference r:id="rId3" w:type="default"/>
          <w:footerReference r:id="rId4" w:type="even"/>
          <w:pgSz w:w="11906" w:h="16838"/>
          <w:pgMar w:top="2098" w:right="1531" w:bottom="1985" w:left="1531" w:header="851" w:footer="1531" w:gutter="0"/>
          <w:cols w:space="425" w:num="1"/>
          <w:docGrid w:type="linesAndChars" w:linePitch="577" w:charSpace="-1683"/>
        </w:sectPr>
      </w:pPr>
    </w:p>
    <w:p>
      <w:pPr>
        <w:widowControl/>
        <w:adjustRightInd w:val="0"/>
        <w:rPr>
          <w:rFonts w:ascii="黑体" w:hAnsi="仿宋" w:eastAsia="黑体"/>
          <w:szCs w:val="32"/>
        </w:rPr>
      </w:pPr>
      <w:r>
        <w:rPr>
          <w:rFonts w:ascii="黑体" w:hAnsi="仿宋" w:eastAsia="黑体"/>
          <w:szCs w:val="32"/>
        </w:rPr>
        <w:t>附件</w:t>
      </w:r>
      <w:r>
        <w:rPr>
          <w:rFonts w:hint="eastAsia" w:ascii="黑体" w:hAnsi="仿宋" w:eastAsia="黑体"/>
          <w:szCs w:val="32"/>
        </w:rPr>
        <w:t>1</w:t>
      </w:r>
    </w:p>
    <w:p>
      <w:pPr>
        <w:adjustRightInd w:val="0"/>
        <w:rPr>
          <w:rFonts w:ascii="黑体" w:hAnsi="黑体" w:eastAsia="黑体"/>
        </w:rPr>
      </w:pPr>
    </w:p>
    <w:p>
      <w:pPr>
        <w:adjustRightInd w:val="0"/>
        <w:spacing w:line="600" w:lineRule="exact"/>
        <w:jc w:val="center"/>
        <w:rPr>
          <w:rFonts w:ascii="方正小标宋_GBK" w:eastAsia="方正小标宋_GBK"/>
          <w:sz w:val="44"/>
          <w:szCs w:val="44"/>
        </w:rPr>
      </w:pPr>
      <w:r>
        <w:rPr>
          <w:rFonts w:hint="eastAsia" w:ascii="方正小标宋_GBK" w:eastAsia="方正小标宋_GBK"/>
          <w:sz w:val="44"/>
          <w:szCs w:val="44"/>
        </w:rPr>
        <w:t>药品上市后变更备案事项目录</w:t>
      </w:r>
    </w:p>
    <w:p>
      <w:r>
        <w:rPr>
          <w:rFonts w:hint="eastAsia"/>
        </w:rPr>
        <w:t>其中“+”表示需要、“-”表示不需要、“*”表示如有需要可开展。</w:t>
      </w:r>
    </w:p>
    <w:tbl>
      <w:tblPr>
        <w:tblStyle w:val="13"/>
        <w:tblW w:w="146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85" w:type="dxa"/>
          <w:bottom w:w="15" w:type="dxa"/>
          <w:right w:w="85" w:type="dxa"/>
        </w:tblCellMar>
      </w:tblPr>
      <w:tblGrid>
        <w:gridCol w:w="760"/>
        <w:gridCol w:w="2564"/>
        <w:gridCol w:w="1991"/>
        <w:gridCol w:w="191"/>
        <w:gridCol w:w="789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tblHeader/>
          <w:jc w:val="center"/>
        </w:trPr>
        <w:tc>
          <w:tcPr>
            <w:tcW w:w="3324" w:type="dxa"/>
            <w:gridSpan w:val="2"/>
            <w:tcBorders>
              <w:tl2br w:val="nil"/>
              <w:tr2bl w:val="nil"/>
            </w:tcBorders>
            <w:vAlign w:val="center"/>
          </w:tcPr>
          <w:p>
            <w:pPr>
              <w:widowControl/>
              <w:adjustRightInd w:val="0"/>
              <w:snapToGrid w:val="0"/>
              <w:jc w:val="center"/>
              <w:rPr>
                <w:rFonts w:ascii="黑体" w:hAnsi="黑体" w:eastAsia="黑体" w:cs="仿宋"/>
                <w:color w:val="000000"/>
                <w:sz w:val="24"/>
                <w:szCs w:val="24"/>
              </w:rPr>
            </w:pPr>
            <w:r>
              <w:rPr>
                <w:rFonts w:hint="eastAsia" w:ascii="黑体" w:hAnsi="黑体" w:eastAsia="黑体" w:cs="仿宋"/>
                <w:color w:val="000000"/>
                <w:kern w:val="0"/>
                <w:sz w:val="24"/>
                <w:szCs w:val="24"/>
              </w:rPr>
              <w:t>分类</w:t>
            </w:r>
          </w:p>
        </w:tc>
        <w:tc>
          <w:tcPr>
            <w:tcW w:w="10074" w:type="dxa"/>
            <w:gridSpan w:val="3"/>
            <w:tcBorders>
              <w:tl2br w:val="nil"/>
              <w:tr2bl w:val="nil"/>
            </w:tcBorders>
            <w:vAlign w:val="center"/>
          </w:tcPr>
          <w:p>
            <w:pPr>
              <w:widowControl/>
              <w:adjustRightInd w:val="0"/>
              <w:snapToGrid w:val="0"/>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rPr>
              <w:t>事项名称</w:t>
            </w:r>
          </w:p>
        </w:tc>
        <w:tc>
          <w:tcPr>
            <w:tcW w:w="1276" w:type="dxa"/>
            <w:tcBorders>
              <w:left w:val="single" w:color="auto" w:sz="4" w:space="0"/>
              <w:right w:val="single" w:color="auto" w:sz="4" w:space="0"/>
              <w:tl2br w:val="nil"/>
              <w:tr2bl w:val="nil"/>
            </w:tcBorders>
            <w:vAlign w:val="center"/>
          </w:tcPr>
          <w:p>
            <w:pPr>
              <w:widowControl/>
              <w:adjustRightInd w:val="0"/>
              <w:snapToGrid w:val="0"/>
              <w:jc w:val="center"/>
              <w:textAlignment w:val="center"/>
              <w:rPr>
                <w:rFonts w:ascii="黑体" w:hAnsi="黑体" w:eastAsia="黑体" w:cs="仿宋"/>
                <w:color w:val="000000"/>
                <w:kern w:val="0"/>
                <w:sz w:val="24"/>
                <w:szCs w:val="24"/>
              </w:rPr>
            </w:pPr>
            <w:r>
              <w:rPr>
                <w:rFonts w:hint="eastAsia" w:ascii="黑体" w:hAnsi="黑体" w:eastAsia="黑体" w:cs="仿宋"/>
                <w:color w:val="000000"/>
                <w:kern w:val="0"/>
                <w:sz w:val="24"/>
                <w:szCs w:val="24"/>
              </w:rPr>
              <w:t>是否开展</w:t>
            </w:r>
          </w:p>
          <w:p>
            <w:pPr>
              <w:widowControl/>
              <w:adjustRightInd w:val="0"/>
              <w:snapToGrid w:val="0"/>
              <w:jc w:val="center"/>
              <w:textAlignment w:val="center"/>
              <w:rPr>
                <w:rFonts w:ascii="黑体" w:hAnsi="黑体" w:eastAsia="黑体" w:cs="仿宋"/>
                <w:color w:val="000000"/>
                <w:kern w:val="0"/>
                <w:sz w:val="24"/>
                <w:szCs w:val="24"/>
              </w:rPr>
            </w:pPr>
            <w:r>
              <w:rPr>
                <w:rFonts w:hint="eastAsia" w:ascii="黑体" w:hAnsi="黑体" w:eastAsia="黑体" w:cs="仿宋"/>
                <w:color w:val="000000"/>
                <w:kern w:val="0"/>
                <w:sz w:val="24"/>
                <w:szCs w:val="24"/>
              </w:rPr>
              <w:t>技术审查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restart"/>
            <w:tcBorders>
              <w:tl2br w:val="nil"/>
              <w:tr2bl w:val="nil"/>
            </w:tcBorders>
            <w:vAlign w:val="center"/>
          </w:tcPr>
          <w:p>
            <w:pPr>
              <w:widowControl/>
              <w:adjustRightInd w:val="0"/>
              <w:snapToGrid w:val="0"/>
              <w:jc w:val="center"/>
              <w:textAlignment w:val="center"/>
              <w:rPr>
                <w:rFonts w:hAnsi="仿宋" w:cs="仿宋"/>
                <w:color w:val="000000"/>
                <w:sz w:val="24"/>
                <w:szCs w:val="24"/>
              </w:rPr>
            </w:pPr>
            <w:r>
              <w:rPr>
                <w:rFonts w:hint="eastAsia" w:hAnsi="仿宋" w:cs="仿宋"/>
                <w:color w:val="000000"/>
                <w:kern w:val="0"/>
                <w:sz w:val="24"/>
                <w:szCs w:val="24"/>
              </w:rPr>
              <w:t>化学制剂</w:t>
            </w:r>
          </w:p>
        </w:tc>
        <w:tc>
          <w:tcPr>
            <w:tcW w:w="2564" w:type="dxa"/>
            <w:vMerge w:val="restart"/>
            <w:tcBorders>
              <w:tl2br w:val="nil"/>
              <w:tr2bl w:val="nil"/>
            </w:tcBorders>
            <w:vAlign w:val="center"/>
          </w:tcPr>
          <w:p>
            <w:pPr>
              <w:widowControl/>
              <w:adjustRightInd w:val="0"/>
              <w:snapToGrid w:val="0"/>
              <w:jc w:val="center"/>
              <w:textAlignment w:val="center"/>
              <w:rPr>
                <w:rFonts w:hAnsi="仿宋" w:cs="仿宋"/>
                <w:color w:val="000000"/>
                <w:sz w:val="24"/>
                <w:szCs w:val="24"/>
              </w:rPr>
            </w:pPr>
            <w:r>
              <w:rPr>
                <w:rFonts w:hint="eastAsia" w:hAnsi="仿宋" w:cs="仿宋"/>
                <w:color w:val="000000"/>
                <w:kern w:val="0"/>
                <w:sz w:val="24"/>
                <w:szCs w:val="24"/>
              </w:rPr>
              <w:t>1.国家药品监管部门发布的已上市化学药品药学变更相关技术指导原则中属于</w:t>
            </w:r>
            <w:r>
              <w:rPr>
                <w:rFonts w:hint="eastAsia" w:hAnsi="仿宋" w:cs="仿宋"/>
                <w:b/>
                <w:bCs/>
                <w:color w:val="000000"/>
                <w:kern w:val="0"/>
                <w:sz w:val="24"/>
                <w:szCs w:val="24"/>
              </w:rPr>
              <w:t>中等变更</w:t>
            </w:r>
            <w:r>
              <w:rPr>
                <w:rFonts w:hint="eastAsia" w:hAnsi="仿宋" w:cs="仿宋"/>
                <w:color w:val="000000"/>
                <w:kern w:val="0"/>
                <w:sz w:val="24"/>
                <w:szCs w:val="24"/>
              </w:rPr>
              <w:t>的事项</w:t>
            </w: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1.1变更原料药生产工艺</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1.2变更制剂处方中的辅料</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1.3</w:t>
            </w:r>
            <w:r>
              <w:rPr>
                <w:rStyle w:val="92"/>
                <w:rFonts w:hint="default" w:ascii="仿宋" w:hAnsi="仿宋" w:eastAsia="仿宋" w:cs="仿宋"/>
              </w:rPr>
              <w:t>变更制剂生产工艺</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1.4</w:t>
            </w:r>
            <w:r>
              <w:rPr>
                <w:rStyle w:val="92"/>
                <w:rFonts w:hint="default" w:ascii="仿宋" w:hAnsi="仿宋" w:eastAsia="仿宋" w:cs="仿宋"/>
              </w:rPr>
              <w:t>变更制剂所用原料药的供应商</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1.5</w:t>
            </w:r>
            <w:r>
              <w:rPr>
                <w:rStyle w:val="46"/>
                <w:rFonts w:hint="default" w:ascii="仿宋" w:hAnsi="仿宋" w:eastAsia="仿宋" w:cs="仿宋"/>
                <w:sz w:val="24"/>
                <w:szCs w:val="24"/>
              </w:rPr>
              <w:t>变更生产批量</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restart"/>
            <w:tcBorders>
              <w:right w:val="single" w:color="auto" w:sz="4" w:space="0"/>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1.6</w:t>
            </w:r>
            <w:r>
              <w:rPr>
                <w:rStyle w:val="92"/>
                <w:rFonts w:hint="default" w:ascii="仿宋" w:hAnsi="仿宋" w:eastAsia="仿宋" w:cs="仿宋"/>
              </w:rPr>
              <w:t>变更注册标准</w:t>
            </w: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（1）新增检验项目</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continue"/>
            <w:tcBorders>
              <w:right w:val="single" w:color="auto" w:sz="4" w:space="0"/>
              <w:tl2br w:val="nil"/>
              <w:tr2bl w:val="nil"/>
            </w:tcBorders>
            <w:vAlign w:val="center"/>
          </w:tcPr>
          <w:p>
            <w:pPr>
              <w:widowControl/>
              <w:adjustRightInd w:val="0"/>
              <w:snapToGrid w:val="0"/>
              <w:textAlignment w:val="center"/>
              <w:rPr>
                <w:rFonts w:hAnsi="仿宋" w:cs="仿宋"/>
                <w:color w:val="000000"/>
                <w:kern w:val="0"/>
                <w:sz w:val="24"/>
                <w:szCs w:val="24"/>
              </w:rPr>
            </w:pP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 xml:space="preserve">（2）在原标准规定范围内收紧限度 </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continue"/>
            <w:tcBorders>
              <w:right w:val="single" w:color="auto" w:sz="4" w:space="0"/>
              <w:tl2br w:val="nil"/>
              <w:tr2bl w:val="nil"/>
            </w:tcBorders>
            <w:vAlign w:val="center"/>
          </w:tcPr>
          <w:p>
            <w:pPr>
              <w:widowControl/>
              <w:adjustRightInd w:val="0"/>
              <w:snapToGrid w:val="0"/>
              <w:textAlignment w:val="center"/>
              <w:rPr>
                <w:rFonts w:hAnsi="仿宋" w:cs="仿宋"/>
                <w:color w:val="000000"/>
                <w:kern w:val="0"/>
                <w:sz w:val="24"/>
                <w:szCs w:val="24"/>
              </w:rPr>
            </w:pP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（3）注册标准中文字描述的变更，此类变更不应涉及检验方法、限度等的变更。</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restart"/>
            <w:tcBorders>
              <w:right w:val="single" w:color="auto" w:sz="4" w:space="0"/>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1.7</w:t>
            </w:r>
            <w:r>
              <w:rPr>
                <w:rStyle w:val="92"/>
                <w:rFonts w:hint="default" w:ascii="仿宋" w:hAnsi="仿宋" w:eastAsia="仿宋" w:cs="仿宋"/>
              </w:rPr>
              <w:t>变更包装材料和容器</w:t>
            </w: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（1）变更多剂量包装制剂的包装装量</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continue"/>
            <w:tcBorders>
              <w:right w:val="single" w:color="auto" w:sz="4" w:space="0"/>
              <w:tl2br w:val="nil"/>
              <w:tr2bl w:val="nil"/>
            </w:tcBorders>
            <w:vAlign w:val="center"/>
          </w:tcPr>
          <w:p>
            <w:pPr>
              <w:widowControl/>
              <w:adjustRightInd w:val="0"/>
              <w:snapToGrid w:val="0"/>
              <w:textAlignment w:val="center"/>
              <w:rPr>
                <w:rFonts w:hAnsi="仿宋" w:cs="仿宋"/>
                <w:color w:val="000000"/>
                <w:kern w:val="0"/>
                <w:sz w:val="24"/>
                <w:szCs w:val="24"/>
              </w:rPr>
            </w:pP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（2）变更液体/半固体制剂（吸入制剂、注射剂、眼用制剂除外）、无菌和/或液体原料药的包装材料和容器的材质和/或类型。如，口服液体药用聚丙烯瓶变更为口服液体药用聚酯瓶，等。</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continue"/>
            <w:tcBorders>
              <w:right w:val="single" w:color="auto" w:sz="4" w:space="0"/>
              <w:tl2br w:val="nil"/>
              <w:tr2bl w:val="nil"/>
            </w:tcBorders>
            <w:vAlign w:val="center"/>
          </w:tcPr>
          <w:p>
            <w:pPr>
              <w:widowControl/>
              <w:adjustRightInd w:val="0"/>
              <w:snapToGrid w:val="0"/>
              <w:textAlignment w:val="center"/>
              <w:rPr>
                <w:rFonts w:hAnsi="仿宋" w:cs="仿宋"/>
                <w:color w:val="000000"/>
                <w:kern w:val="0"/>
                <w:sz w:val="24"/>
                <w:szCs w:val="24"/>
              </w:rPr>
            </w:pP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（3）变更非无菌固体制剂的包装材料和容器的材质和/或类型的下列情形：如，泡罩包装、瓶装、袋装等之间的变更，双铝泡罩变更为铝塑泡罩，等。</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991" w:type="dxa"/>
            <w:vMerge w:val="continue"/>
            <w:tcBorders>
              <w:right w:val="single" w:color="auto" w:sz="4" w:space="0"/>
              <w:tl2br w:val="nil"/>
              <w:tr2bl w:val="nil"/>
            </w:tcBorders>
            <w:vAlign w:val="center"/>
          </w:tcPr>
          <w:p>
            <w:pPr>
              <w:widowControl/>
              <w:adjustRightInd w:val="0"/>
              <w:snapToGrid w:val="0"/>
              <w:textAlignment w:val="center"/>
              <w:rPr>
                <w:rFonts w:hAnsi="仿宋" w:cs="仿宋"/>
                <w:color w:val="000000"/>
                <w:kern w:val="0"/>
                <w:sz w:val="24"/>
                <w:szCs w:val="24"/>
              </w:rPr>
            </w:pPr>
          </w:p>
        </w:tc>
        <w:tc>
          <w:tcPr>
            <w:tcW w:w="8083" w:type="dxa"/>
            <w:gridSpan w:val="2"/>
            <w:tcBorders>
              <w:left w:val="single" w:color="auto" w:sz="4" w:space="0"/>
              <w:tl2br w:val="nil"/>
              <w:tr2bl w:val="nil"/>
            </w:tcBorders>
            <w:vAlign w:val="center"/>
          </w:tcPr>
          <w:p>
            <w:pPr>
              <w:widowControl/>
              <w:adjustRightInd w:val="0"/>
              <w:snapToGrid w:val="0"/>
              <w:textAlignment w:val="center"/>
              <w:rPr>
                <w:rStyle w:val="92"/>
                <w:rFonts w:hint="default" w:ascii="仿宋" w:hAnsi="仿宋" w:eastAsia="仿宋" w:cs="仿宋"/>
              </w:rPr>
            </w:pPr>
            <w:r>
              <w:rPr>
                <w:rStyle w:val="92"/>
                <w:rFonts w:hint="default" w:ascii="仿宋" w:hAnsi="仿宋" w:eastAsia="仿宋" w:cs="仿宋"/>
              </w:rPr>
              <w:t>（4）变更注射剂的包装材料和容器的供应商、尺寸和/或形状。</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1.8</w:t>
            </w:r>
            <w:r>
              <w:rPr>
                <w:rStyle w:val="92"/>
                <w:rFonts w:hint="default" w:ascii="仿宋" w:hAnsi="仿宋" w:eastAsia="仿宋" w:cs="仿宋"/>
              </w:rPr>
              <w:t>变更有效期</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restart"/>
            <w:tcBorders>
              <w:tl2br w:val="nil"/>
              <w:tr2bl w:val="nil"/>
            </w:tcBorders>
            <w:vAlign w:val="center"/>
          </w:tcPr>
          <w:p>
            <w:pPr>
              <w:widowControl/>
              <w:adjustRightInd w:val="0"/>
              <w:snapToGrid w:val="0"/>
              <w:jc w:val="center"/>
              <w:rPr>
                <w:rFonts w:hAnsi="仿宋" w:cs="仿宋"/>
                <w:color w:val="000000"/>
                <w:sz w:val="24"/>
                <w:szCs w:val="24"/>
              </w:rPr>
            </w:pPr>
            <w:r>
              <w:rPr>
                <w:rFonts w:hint="eastAsia" w:hAnsi="仿宋" w:cs="仿宋"/>
                <w:color w:val="000000"/>
                <w:kern w:val="0"/>
                <w:sz w:val="24"/>
                <w:szCs w:val="24"/>
              </w:rPr>
              <w:t>化学制剂</w:t>
            </w:r>
          </w:p>
        </w:tc>
        <w:tc>
          <w:tcPr>
            <w:tcW w:w="2564" w:type="dxa"/>
            <w:vMerge w:val="restart"/>
            <w:tcBorders>
              <w:tl2br w:val="nil"/>
              <w:tr2bl w:val="nil"/>
            </w:tcBorders>
            <w:vAlign w:val="center"/>
          </w:tcPr>
          <w:p>
            <w:pPr>
              <w:widowControl/>
              <w:adjustRightInd w:val="0"/>
              <w:snapToGrid w:val="0"/>
              <w:jc w:val="center"/>
              <w:textAlignment w:val="center"/>
              <w:rPr>
                <w:rFonts w:hAnsi="仿宋" w:cs="仿宋"/>
                <w:color w:val="000000"/>
                <w:sz w:val="24"/>
                <w:szCs w:val="24"/>
              </w:rPr>
            </w:pPr>
            <w:r>
              <w:rPr>
                <w:rFonts w:hint="eastAsia" w:hAnsi="仿宋" w:cs="仿宋"/>
                <w:color w:val="000000"/>
                <w:kern w:val="0"/>
                <w:sz w:val="24"/>
                <w:szCs w:val="24"/>
              </w:rPr>
              <w:t>2.国家药品监管部门发布的已上市化学药品临床变更相关技术指导原则中属于</w:t>
            </w:r>
            <w:r>
              <w:rPr>
                <w:rFonts w:hint="eastAsia" w:hAnsi="仿宋" w:cs="仿宋"/>
                <w:b/>
                <w:bCs/>
                <w:color w:val="000000"/>
                <w:kern w:val="0"/>
                <w:sz w:val="24"/>
                <w:szCs w:val="24"/>
              </w:rPr>
              <w:t>中等变更</w:t>
            </w:r>
            <w:r>
              <w:rPr>
                <w:rFonts w:hint="eastAsia" w:hAnsi="仿宋" w:cs="仿宋"/>
                <w:color w:val="000000"/>
                <w:kern w:val="0"/>
                <w:sz w:val="24"/>
                <w:szCs w:val="24"/>
              </w:rPr>
              <w:t>的事项</w:t>
            </w: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2.1按国家局公告要求统一修订的说明书</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2.2参照国家药品监督管理局已批准上市的创新药、改良型新药或列入《化学仿制药参比制剂目录》并已在我国上市的参比制剂的最新版说明书，对化学药品仿制药或者生物类似药说明书中安全性信息进行的变更</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sz w:val="24"/>
                <w:szCs w:val="24"/>
              </w:rPr>
            </w:pPr>
            <w:r>
              <w:rPr>
                <w:rFonts w:hint="eastAsia" w:hAnsi="仿宋" w:cs="仿宋"/>
                <w:color w:val="000000"/>
                <w:kern w:val="0"/>
                <w:sz w:val="24"/>
                <w:szCs w:val="24"/>
              </w:rPr>
              <w:t>2.3根据已批准的药品说明书修改包装标签</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3.改变不涉及技术审评的药品注册证书（含原料药批准通知书）载明信息</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4.国家药品监管部门规定需要备案的其他事项</w:t>
            </w:r>
          </w:p>
        </w:tc>
        <w:tc>
          <w:tcPr>
            <w:tcW w:w="1276" w:type="dxa"/>
            <w:tcBorders>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5.持有人经沟通交流后确认属于省级药品监管部门备案的变更情形</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restart"/>
            <w:tcBorders>
              <w:tl2br w:val="nil"/>
              <w:tr2bl w:val="nil"/>
            </w:tcBorders>
            <w:vAlign w:val="center"/>
          </w:tcPr>
          <w:p>
            <w:pPr>
              <w:widowControl/>
              <w:adjustRightInd w:val="0"/>
              <w:snapToGrid w:val="0"/>
              <w:jc w:val="center"/>
              <w:textAlignment w:val="center"/>
              <w:rPr>
                <w:rFonts w:hAnsi="仿宋" w:cs="仿宋"/>
                <w:color w:val="000000"/>
                <w:sz w:val="24"/>
                <w:szCs w:val="24"/>
              </w:rPr>
            </w:pPr>
            <w:r>
              <w:rPr>
                <w:rFonts w:hint="eastAsia" w:hAnsi="仿宋" w:cs="仿宋"/>
                <w:color w:val="000000"/>
                <w:kern w:val="0"/>
                <w:sz w:val="24"/>
                <w:szCs w:val="24"/>
              </w:rPr>
              <w:t>中药</w:t>
            </w:r>
          </w:p>
        </w:tc>
        <w:tc>
          <w:tcPr>
            <w:tcW w:w="2564" w:type="dxa"/>
            <w:vMerge w:val="restart"/>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1.下列变更事项中属于</w:t>
            </w:r>
            <w:r>
              <w:rPr>
                <w:rFonts w:hint="eastAsia" w:hAnsi="仿宋" w:cs="仿宋"/>
                <w:b/>
                <w:bCs/>
                <w:color w:val="000000"/>
                <w:kern w:val="0"/>
                <w:sz w:val="24"/>
                <w:szCs w:val="24"/>
              </w:rPr>
              <w:t>中等变更</w:t>
            </w:r>
            <w:r>
              <w:rPr>
                <w:rFonts w:hint="eastAsia" w:hAnsi="仿宋" w:cs="仿宋"/>
                <w:color w:val="000000"/>
                <w:kern w:val="0"/>
                <w:sz w:val="24"/>
                <w:szCs w:val="24"/>
              </w:rPr>
              <w:t>的情形</w:t>
            </w:r>
          </w:p>
        </w:tc>
        <w:tc>
          <w:tcPr>
            <w:tcW w:w="10074" w:type="dxa"/>
            <w:gridSpan w:val="3"/>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1.1变更药品包装规格</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10074" w:type="dxa"/>
            <w:gridSpan w:val="3"/>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1.2变更生产工艺</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10074" w:type="dxa"/>
            <w:gridSpan w:val="3"/>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1.3变更制剂处方中的辅料</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2182" w:type="dxa"/>
            <w:gridSpan w:val="2"/>
            <w:vMerge w:val="restart"/>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1.4变更药品注册标准</w:t>
            </w:r>
          </w:p>
        </w:tc>
        <w:tc>
          <w:tcPr>
            <w:tcW w:w="7892" w:type="dxa"/>
            <w:tcBorders>
              <w:left w:val="single" w:color="auto" w:sz="4" w:space="0"/>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（1）在原标准规定范围内收紧限度</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2182" w:type="dxa"/>
            <w:gridSpan w:val="2"/>
            <w:vMerge w:val="continue"/>
            <w:tcBorders>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p>
        </w:tc>
        <w:tc>
          <w:tcPr>
            <w:tcW w:w="7892" w:type="dxa"/>
            <w:tcBorders>
              <w:left w:val="single" w:color="auto" w:sz="4" w:space="0"/>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（2）注册标准中文字描述变更，</w:t>
            </w:r>
            <w:r>
              <w:rPr>
                <w:rStyle w:val="92"/>
                <w:rFonts w:hint="default" w:ascii="仿宋" w:hAnsi="仿宋" w:eastAsia="仿宋" w:cs="仿宋"/>
              </w:rPr>
              <w:t>此类变更不应涉及检验方法、限度等的变更。</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2182" w:type="dxa"/>
            <w:gridSpan w:val="2"/>
            <w:vMerge w:val="continue"/>
            <w:tcBorders>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p>
        </w:tc>
        <w:tc>
          <w:tcPr>
            <w:tcW w:w="7892" w:type="dxa"/>
            <w:tcBorders>
              <w:left w:val="single" w:color="auto" w:sz="4" w:space="0"/>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（3）根据已批准事项对注册标准进行相应修改</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2182" w:type="dxa"/>
            <w:gridSpan w:val="2"/>
            <w:vMerge w:val="continue"/>
            <w:tcBorders>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p>
        </w:tc>
        <w:tc>
          <w:tcPr>
            <w:tcW w:w="7892" w:type="dxa"/>
            <w:tcBorders>
              <w:left w:val="single" w:color="auto" w:sz="4" w:space="0"/>
              <w:right w:val="single" w:color="auto" w:sz="4" w:space="0"/>
              <w:tl2br w:val="nil"/>
              <w:tr2bl w:val="nil"/>
            </w:tcBorders>
            <w:vAlign w:val="center"/>
          </w:tcPr>
          <w:p>
            <w:pPr>
              <w:widowControl/>
              <w:adjustRightInd w:val="0"/>
              <w:snapToGrid w:val="0"/>
              <w:jc w:val="left"/>
              <w:textAlignment w:val="center"/>
              <w:rPr>
                <w:rFonts w:hAnsi="仿宋" w:cs="仿宋"/>
                <w:color w:val="000000"/>
                <w:kern w:val="0"/>
                <w:sz w:val="24"/>
                <w:szCs w:val="24"/>
              </w:rPr>
            </w:pPr>
            <w:r>
              <w:rPr>
                <w:rFonts w:hint="eastAsia" w:hAnsi="仿宋" w:cs="仿宋"/>
                <w:color w:val="000000"/>
                <w:kern w:val="0"/>
                <w:sz w:val="24"/>
                <w:szCs w:val="24"/>
              </w:rPr>
              <w:t>（4）新增检验项目</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10074" w:type="dxa"/>
            <w:gridSpan w:val="3"/>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1.5变更药品包装材料和容器</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10074" w:type="dxa"/>
            <w:gridSpan w:val="3"/>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1.6变更药品有效期</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2.国家药品监督管理部门规定统一按要求补充完善说明书的变更</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4.根据药品说明书内容变更标签相应内容</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5.药品分包装及其变更</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6.变更药品上市许可持有人名称、注册地址名称、生产企业名称、生产地址名称（药品上市许可持有人未发生变更）</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12638" w:type="dxa"/>
            <w:gridSpan w:val="4"/>
            <w:tcBorders>
              <w:right w:val="single" w:color="auto" w:sz="4" w:space="0"/>
              <w:tl2br w:val="nil"/>
              <w:tr2bl w:val="nil"/>
            </w:tcBorders>
            <w:vAlign w:val="center"/>
          </w:tcPr>
          <w:p>
            <w:pPr>
              <w:widowControl/>
              <w:adjustRightInd w:val="0"/>
              <w:snapToGrid w:val="0"/>
              <w:jc w:val="left"/>
              <w:textAlignment w:val="center"/>
              <w:rPr>
                <w:rFonts w:hAnsi="仿宋" w:cs="仿宋"/>
                <w:sz w:val="24"/>
                <w:szCs w:val="24"/>
              </w:rPr>
            </w:pPr>
            <w:r>
              <w:rPr>
                <w:rFonts w:hint="eastAsia" w:hAnsi="仿宋" w:cs="仿宋"/>
                <w:color w:val="000000"/>
                <w:kern w:val="0"/>
                <w:sz w:val="24"/>
                <w:szCs w:val="24"/>
              </w:rPr>
              <w:t>7.其他（包括持有人经沟通交流后确认属于省级药品监管部门备案的变更情形）</w:t>
            </w:r>
          </w:p>
        </w:tc>
        <w:tc>
          <w:tcPr>
            <w:tcW w:w="1276" w:type="dxa"/>
            <w:tcBorders>
              <w:left w:val="single" w:color="auto" w:sz="4" w:space="0"/>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restart"/>
            <w:tcBorders>
              <w:tl2br w:val="nil"/>
              <w:tr2bl w:val="nil"/>
            </w:tcBorders>
            <w:vAlign w:val="center"/>
          </w:tcPr>
          <w:p>
            <w:pPr>
              <w:widowControl/>
              <w:adjustRightInd w:val="0"/>
              <w:snapToGrid w:val="0"/>
              <w:jc w:val="center"/>
              <w:rPr>
                <w:rFonts w:hAnsi="仿宋" w:cs="仿宋"/>
                <w:color w:val="000000"/>
                <w:sz w:val="24"/>
                <w:szCs w:val="24"/>
              </w:rPr>
            </w:pPr>
            <w:r>
              <w:rPr>
                <w:rFonts w:hint="eastAsia" w:hAnsi="仿宋" w:cs="仿宋"/>
                <w:color w:val="000000"/>
                <w:sz w:val="24"/>
                <w:szCs w:val="24"/>
              </w:rPr>
              <w:t>生物制品</w:t>
            </w:r>
          </w:p>
        </w:tc>
        <w:tc>
          <w:tcPr>
            <w:tcW w:w="12638" w:type="dxa"/>
            <w:gridSpan w:val="4"/>
            <w:tcBorders>
              <w:tl2br w:val="nil"/>
              <w:tr2bl w:val="nil"/>
            </w:tcBorders>
            <w:vAlign w:val="center"/>
          </w:tcPr>
          <w:p>
            <w:pPr>
              <w:widowControl/>
              <w:adjustRightInd w:val="0"/>
              <w:snapToGrid w:val="0"/>
              <w:jc w:val="left"/>
              <w:textAlignment w:val="center"/>
              <w:rPr>
                <w:rFonts w:hAnsi="仿宋" w:cs="仿宋"/>
                <w:b/>
                <w:bCs/>
                <w:color w:val="000000"/>
                <w:kern w:val="0"/>
                <w:sz w:val="24"/>
                <w:szCs w:val="24"/>
              </w:rPr>
            </w:pPr>
            <w:r>
              <w:rPr>
                <w:rFonts w:hint="eastAsia" w:hAnsi="仿宋" w:cs="仿宋"/>
                <w:b/>
                <w:bCs/>
                <w:color w:val="000000"/>
                <w:kern w:val="0"/>
                <w:sz w:val="24"/>
                <w:szCs w:val="24"/>
                <w:em w:val="dot"/>
              </w:rPr>
              <w:t>1.相关指导原则尚未发布前，按原《注册管理办法》相关规定执行。</w:t>
            </w:r>
          </w:p>
        </w:tc>
        <w:tc>
          <w:tcPr>
            <w:tcW w:w="1276" w:type="dxa"/>
            <w:tcBorders>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restart"/>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2.国家药品监管部门发布的已上市生物制品临床变更相关技术指导原则中属于</w:t>
            </w:r>
            <w:r>
              <w:rPr>
                <w:rFonts w:hint="eastAsia" w:hAnsi="仿宋" w:cs="仿宋"/>
                <w:b/>
                <w:bCs/>
                <w:color w:val="000000"/>
                <w:kern w:val="0"/>
                <w:sz w:val="24"/>
                <w:szCs w:val="24"/>
              </w:rPr>
              <w:t>中等变更</w:t>
            </w:r>
            <w:r>
              <w:rPr>
                <w:rFonts w:hint="eastAsia" w:hAnsi="仿宋" w:cs="仿宋"/>
                <w:color w:val="000000"/>
                <w:kern w:val="0"/>
                <w:sz w:val="24"/>
                <w:szCs w:val="24"/>
              </w:rPr>
              <w:t>的事项</w:t>
            </w:r>
          </w:p>
        </w:tc>
        <w:tc>
          <w:tcPr>
            <w:tcW w:w="10074" w:type="dxa"/>
            <w:gridSpan w:val="3"/>
            <w:tcBorders>
              <w:tl2br w:val="nil"/>
              <w:tr2bl w:val="nil"/>
            </w:tcBorders>
            <w:vAlign w:val="center"/>
          </w:tcPr>
          <w:p>
            <w:pPr>
              <w:widowControl/>
              <w:adjustRightInd w:val="0"/>
              <w:snapToGrid w:val="0"/>
              <w:textAlignment w:val="center"/>
              <w:rPr>
                <w:rFonts w:hAnsi="仿宋" w:cs="仿宋"/>
                <w:color w:val="000000"/>
                <w:kern w:val="0"/>
                <w:sz w:val="24"/>
                <w:szCs w:val="24"/>
              </w:rPr>
            </w:pPr>
            <w:r>
              <w:rPr>
                <w:rFonts w:hint="eastAsia" w:hAnsi="仿宋" w:cs="仿宋"/>
                <w:color w:val="000000"/>
                <w:kern w:val="0"/>
                <w:sz w:val="24"/>
                <w:szCs w:val="24"/>
              </w:rPr>
              <w:t>2.1按国家局公告要求统一修订的说明书</w:t>
            </w:r>
          </w:p>
        </w:tc>
        <w:tc>
          <w:tcPr>
            <w:tcW w:w="1276" w:type="dxa"/>
            <w:tcBorders>
              <w:tl2br w:val="nil"/>
              <w:tr2bl w:val="nil"/>
            </w:tcBorders>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Borders>
              <w:tl2br w:val="nil"/>
              <w:tr2bl w:val="nil"/>
            </w:tcBorders>
            <w:vAlign w:val="center"/>
          </w:tcPr>
          <w:p>
            <w:pPr>
              <w:widowControl/>
              <w:adjustRightInd w:val="0"/>
              <w:snapToGrid w:val="0"/>
              <w:jc w:val="center"/>
              <w:rPr>
                <w:rFonts w:hAnsi="仿宋" w:cs="仿宋"/>
                <w:color w:val="000000"/>
                <w:sz w:val="24"/>
                <w:szCs w:val="24"/>
              </w:rPr>
            </w:pPr>
          </w:p>
        </w:tc>
        <w:tc>
          <w:tcPr>
            <w:tcW w:w="2564" w:type="dxa"/>
            <w:vMerge w:val="continue"/>
            <w:tcBorders>
              <w:tl2br w:val="nil"/>
              <w:tr2bl w:val="nil"/>
            </w:tcBorders>
            <w:vAlign w:val="center"/>
          </w:tcPr>
          <w:p>
            <w:pPr>
              <w:widowControl/>
              <w:adjustRightInd w:val="0"/>
              <w:snapToGrid w:val="0"/>
              <w:jc w:val="center"/>
              <w:rPr>
                <w:rFonts w:hAnsi="仿宋" w:cs="仿宋"/>
                <w:color w:val="000000"/>
                <w:kern w:val="0"/>
                <w:sz w:val="24"/>
                <w:szCs w:val="24"/>
              </w:rPr>
            </w:pPr>
          </w:p>
        </w:tc>
        <w:tc>
          <w:tcPr>
            <w:tcW w:w="10074" w:type="dxa"/>
            <w:gridSpan w:val="3"/>
            <w:tcBorders>
              <w:tl2br w:val="nil"/>
              <w:tr2bl w:val="nil"/>
            </w:tcBorders>
            <w:vAlign w:val="center"/>
          </w:tcPr>
          <w:p>
            <w:pPr>
              <w:widowControl/>
              <w:adjustRightInd w:val="0"/>
              <w:snapToGrid w:val="0"/>
              <w:textAlignment w:val="center"/>
              <w:rPr>
                <w:rFonts w:hAnsi="仿宋" w:cs="仿宋"/>
                <w:color w:val="000000"/>
                <w:kern w:val="0"/>
                <w:sz w:val="24"/>
                <w:szCs w:val="24"/>
              </w:rPr>
            </w:pPr>
            <w:r>
              <w:rPr>
                <w:rFonts w:hint="eastAsia" w:hAnsi="仿宋" w:cs="仿宋"/>
                <w:color w:val="000000"/>
                <w:kern w:val="0"/>
                <w:sz w:val="24"/>
                <w:szCs w:val="24"/>
              </w:rPr>
              <w:t>2.2参照国家药品监督管理局已批准上市的创新药、改良型新药或列入《化学仿制药参比制剂目录》并已在我国上市的参比制剂的最新版说明书，对化学药品仿制药或者生物类似药说明书中安全性信息进行的变更</w:t>
            </w:r>
          </w:p>
        </w:tc>
        <w:tc>
          <w:tcPr>
            <w:tcW w:w="1276" w:type="dxa"/>
            <w:tcBorders>
              <w:tl2br w:val="nil"/>
              <w:tr2bl w:val="nil"/>
            </w:tcBorders>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Pr>
          <w:p>
            <w:pPr>
              <w:widowControl/>
              <w:adjustRightInd w:val="0"/>
              <w:snapToGrid w:val="0"/>
              <w:jc w:val="center"/>
              <w:rPr>
                <w:rFonts w:hAnsi="仿宋" w:cs="仿宋"/>
                <w:color w:val="000000"/>
                <w:sz w:val="24"/>
                <w:szCs w:val="24"/>
              </w:rPr>
            </w:pPr>
          </w:p>
        </w:tc>
        <w:tc>
          <w:tcPr>
            <w:tcW w:w="2564" w:type="dxa"/>
            <w:vMerge w:val="continue"/>
            <w:vAlign w:val="center"/>
          </w:tcPr>
          <w:p>
            <w:pPr>
              <w:widowControl/>
              <w:adjustRightInd w:val="0"/>
              <w:snapToGrid w:val="0"/>
              <w:jc w:val="center"/>
              <w:rPr>
                <w:rFonts w:hAnsi="仿宋" w:cs="仿宋"/>
                <w:color w:val="000000"/>
                <w:kern w:val="0"/>
                <w:sz w:val="24"/>
                <w:szCs w:val="24"/>
              </w:rPr>
            </w:pPr>
          </w:p>
        </w:tc>
        <w:tc>
          <w:tcPr>
            <w:tcW w:w="10074" w:type="dxa"/>
            <w:gridSpan w:val="3"/>
            <w:vAlign w:val="center"/>
          </w:tcPr>
          <w:p>
            <w:pPr>
              <w:widowControl/>
              <w:adjustRightInd w:val="0"/>
              <w:snapToGrid w:val="0"/>
              <w:textAlignment w:val="center"/>
              <w:rPr>
                <w:rFonts w:hAnsi="仿宋" w:cs="仿宋"/>
                <w:color w:val="000000"/>
                <w:kern w:val="0"/>
                <w:sz w:val="24"/>
                <w:szCs w:val="24"/>
              </w:rPr>
            </w:pPr>
            <w:r>
              <w:rPr>
                <w:rFonts w:hint="eastAsia" w:hAnsi="仿宋" w:cs="仿宋"/>
                <w:color w:val="000000"/>
                <w:kern w:val="0"/>
                <w:sz w:val="24"/>
                <w:szCs w:val="24"/>
              </w:rPr>
              <w:t>2.3根据已批准的药品说明书修改包装标签</w:t>
            </w:r>
          </w:p>
        </w:tc>
        <w:tc>
          <w:tcPr>
            <w:tcW w:w="1276" w:type="dxa"/>
            <w:vAlign w:val="center"/>
          </w:tcPr>
          <w:p>
            <w:pPr>
              <w:widowControl/>
              <w:adjustRightInd w:val="0"/>
              <w:snapToGrid w:val="0"/>
              <w:jc w:val="center"/>
              <w:textAlignment w:val="center"/>
              <w:rPr>
                <w:rFonts w:hAnsi="仿宋" w:cs="仿宋"/>
                <w:color w:val="000000"/>
                <w:kern w:val="0"/>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Pr>
          <w:p>
            <w:pPr>
              <w:widowControl/>
              <w:adjustRightInd w:val="0"/>
              <w:snapToGrid w:val="0"/>
              <w:jc w:val="center"/>
              <w:rPr>
                <w:rFonts w:hAnsi="仿宋" w:cs="仿宋"/>
                <w:color w:val="000000"/>
                <w:sz w:val="24"/>
                <w:szCs w:val="24"/>
              </w:rPr>
            </w:pPr>
          </w:p>
        </w:tc>
        <w:tc>
          <w:tcPr>
            <w:tcW w:w="12638" w:type="dxa"/>
            <w:gridSpan w:val="4"/>
            <w:vAlign w:val="center"/>
          </w:tcPr>
          <w:p>
            <w:pPr>
              <w:widowControl/>
              <w:adjustRightInd w:val="0"/>
              <w:snapToGrid w:val="0"/>
              <w:textAlignment w:val="center"/>
              <w:rPr>
                <w:rFonts w:hAnsi="仿宋" w:cs="仿宋"/>
                <w:color w:val="000000"/>
                <w:kern w:val="0"/>
                <w:sz w:val="24"/>
                <w:szCs w:val="24"/>
              </w:rPr>
            </w:pPr>
            <w:r>
              <w:rPr>
                <w:rFonts w:hint="eastAsia" w:hAnsi="仿宋" w:cs="仿宋"/>
                <w:color w:val="000000"/>
                <w:kern w:val="0"/>
                <w:sz w:val="24"/>
                <w:szCs w:val="24"/>
              </w:rPr>
              <w:t>3.国家药品监管部门规定需要备案的其他事项</w:t>
            </w:r>
          </w:p>
        </w:tc>
        <w:tc>
          <w:tcPr>
            <w:tcW w:w="1276" w:type="dxa"/>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85" w:type="dxa"/>
            <w:bottom w:w="15" w:type="dxa"/>
            <w:right w:w="85" w:type="dxa"/>
          </w:tblCellMar>
        </w:tblPrEx>
        <w:trPr>
          <w:trHeight w:val="20" w:hRule="atLeast"/>
          <w:jc w:val="center"/>
        </w:trPr>
        <w:tc>
          <w:tcPr>
            <w:tcW w:w="760" w:type="dxa"/>
            <w:vMerge w:val="continue"/>
          </w:tcPr>
          <w:p>
            <w:pPr>
              <w:widowControl/>
              <w:adjustRightInd w:val="0"/>
              <w:snapToGrid w:val="0"/>
              <w:jc w:val="center"/>
              <w:rPr>
                <w:rFonts w:hAnsi="仿宋" w:cs="仿宋"/>
                <w:color w:val="000000"/>
                <w:sz w:val="24"/>
                <w:szCs w:val="24"/>
              </w:rPr>
            </w:pPr>
          </w:p>
        </w:tc>
        <w:tc>
          <w:tcPr>
            <w:tcW w:w="12638" w:type="dxa"/>
            <w:gridSpan w:val="4"/>
            <w:vAlign w:val="center"/>
          </w:tcPr>
          <w:p>
            <w:pPr>
              <w:widowControl/>
              <w:adjustRightInd w:val="0"/>
              <w:snapToGrid w:val="0"/>
              <w:textAlignment w:val="center"/>
              <w:rPr>
                <w:rFonts w:hAnsi="仿宋" w:cs="仿宋"/>
                <w:color w:val="000000"/>
                <w:kern w:val="0"/>
                <w:sz w:val="24"/>
                <w:szCs w:val="24"/>
              </w:rPr>
            </w:pPr>
            <w:r>
              <w:rPr>
                <w:rFonts w:hint="eastAsia" w:hAnsi="仿宋" w:cs="仿宋"/>
                <w:color w:val="000000"/>
                <w:kern w:val="0"/>
                <w:sz w:val="24"/>
                <w:szCs w:val="24"/>
              </w:rPr>
              <w:t>4.持有人经沟通交流后确认属于省级药品监管部门备案的变更情形</w:t>
            </w:r>
          </w:p>
        </w:tc>
        <w:tc>
          <w:tcPr>
            <w:tcW w:w="1276" w:type="dxa"/>
            <w:vAlign w:val="center"/>
          </w:tcPr>
          <w:p>
            <w:pPr>
              <w:widowControl/>
              <w:adjustRightInd w:val="0"/>
              <w:snapToGrid w:val="0"/>
              <w:jc w:val="center"/>
              <w:textAlignment w:val="center"/>
              <w:rPr>
                <w:rFonts w:hAnsi="仿宋" w:cs="仿宋"/>
                <w:sz w:val="24"/>
                <w:szCs w:val="24"/>
              </w:rPr>
            </w:pPr>
            <w:r>
              <w:rPr>
                <w:rFonts w:hint="eastAsia" w:hAnsi="仿宋" w:cs="仿宋"/>
                <w:color w:val="000000"/>
                <w:kern w:val="0"/>
                <w:sz w:val="24"/>
                <w:szCs w:val="24"/>
              </w:rPr>
              <w:t>*</w:t>
            </w:r>
          </w:p>
        </w:tc>
      </w:tr>
    </w:tbl>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rPr>
          <w:rFonts w:ascii="黑体" w:hAnsi="黑体" w:eastAsia="黑体"/>
        </w:rPr>
      </w:pPr>
      <w:r>
        <w:rPr>
          <w:rFonts w:hint="eastAsia" w:ascii="黑体" w:hAnsi="黑体" w:eastAsia="黑体"/>
        </w:rPr>
        <w:t>附件2</w:t>
      </w:r>
    </w:p>
    <w:p>
      <w:pPr>
        <w:adjustRightInd w:val="0"/>
        <w:rPr>
          <w:rFonts w:ascii="黑体" w:hAnsi="黑体" w:eastAsia="黑体"/>
        </w:rPr>
      </w:pPr>
    </w:p>
    <w:p>
      <w:pPr>
        <w:adjustRightInd w:val="0"/>
        <w:spacing w:line="600" w:lineRule="exact"/>
        <w:jc w:val="center"/>
        <w:rPr>
          <w:rFonts w:ascii="方正小标宋_GBK" w:eastAsia="方正小标宋_GBK"/>
          <w:sz w:val="44"/>
          <w:szCs w:val="44"/>
        </w:rPr>
      </w:pPr>
      <w:r>
        <w:rPr>
          <w:rFonts w:hint="eastAsia" w:ascii="方正小标宋_GBK" w:eastAsia="方正小标宋_GBK"/>
          <w:sz w:val="44"/>
          <w:szCs w:val="44"/>
        </w:rPr>
        <w:t>已上市药品变更备案审评意见 </w:t>
      </w:r>
    </w:p>
    <w:tbl>
      <w:tblPr>
        <w:tblStyle w:val="13"/>
        <w:tblW w:w="14175"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85" w:type="dxa"/>
          <w:bottom w:w="0" w:type="dxa"/>
          <w:right w:w="85" w:type="dxa"/>
        </w:tblCellMar>
      </w:tblPr>
      <w:tblGrid>
        <w:gridCol w:w="2259"/>
        <w:gridCol w:w="2469"/>
        <w:gridCol w:w="3635"/>
        <w:gridCol w:w="2045"/>
        <w:gridCol w:w="37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备案号</w:t>
            </w:r>
            <w:r>
              <w:rPr>
                <w:rFonts w:hint="eastAsia" w:ascii="宋体" w:hAnsi="宋体" w:eastAsia="宋体" w:cs="宋体"/>
                <w:kern w:val="0"/>
                <w:sz w:val="24"/>
                <w:szCs w:val="24"/>
              </w:rPr>
              <w:t> </w:t>
            </w:r>
          </w:p>
        </w:tc>
        <w:tc>
          <w:tcPr>
            <w:tcW w:w="11916" w:type="dxa"/>
            <w:gridSpan w:val="4"/>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药品名称</w:t>
            </w:r>
            <w:r>
              <w:rPr>
                <w:rFonts w:hint="eastAsia" w:ascii="宋体" w:hAnsi="宋体" w:eastAsia="宋体" w:cs="宋体"/>
                <w:kern w:val="0"/>
                <w:sz w:val="24"/>
                <w:szCs w:val="24"/>
              </w:rPr>
              <w:t> </w:t>
            </w:r>
          </w:p>
        </w:tc>
        <w:tc>
          <w:tcPr>
            <w:tcW w:w="11916" w:type="dxa"/>
            <w:gridSpan w:val="4"/>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批准文号</w:t>
            </w:r>
            <w:r>
              <w:rPr>
                <w:rFonts w:hint="eastAsia" w:ascii="宋体" w:hAnsi="宋体" w:eastAsia="宋体" w:cs="宋体"/>
                <w:kern w:val="0"/>
                <w:sz w:val="24"/>
                <w:szCs w:val="24"/>
              </w:rPr>
              <w:t> </w:t>
            </w:r>
          </w:p>
        </w:tc>
        <w:tc>
          <w:tcPr>
            <w:tcW w:w="11916" w:type="dxa"/>
            <w:gridSpan w:val="4"/>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剂型</w:t>
            </w:r>
            <w:r>
              <w:rPr>
                <w:rFonts w:hint="eastAsia" w:ascii="宋体" w:hAnsi="宋体" w:eastAsia="宋体" w:cs="宋体"/>
                <w:kern w:val="0"/>
                <w:sz w:val="24"/>
                <w:szCs w:val="24"/>
              </w:rPr>
              <w:t> </w:t>
            </w:r>
          </w:p>
        </w:tc>
        <w:tc>
          <w:tcPr>
            <w:tcW w:w="6104" w:type="dxa"/>
            <w:gridSpan w:val="2"/>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c>
          <w:tcPr>
            <w:tcW w:w="2045" w:type="dxa"/>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规格</w:t>
            </w:r>
            <w:r>
              <w:rPr>
                <w:rFonts w:hint="eastAsia" w:ascii="宋体" w:hAnsi="宋体" w:eastAsia="宋体" w:cs="宋体"/>
                <w:kern w:val="0"/>
                <w:sz w:val="24"/>
                <w:szCs w:val="24"/>
              </w:rPr>
              <w:t> </w:t>
            </w:r>
          </w:p>
        </w:tc>
        <w:tc>
          <w:tcPr>
            <w:tcW w:w="3767" w:type="dxa"/>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变更事项</w:t>
            </w:r>
            <w:r>
              <w:rPr>
                <w:rFonts w:hint="eastAsia" w:ascii="宋体" w:hAnsi="宋体" w:eastAsia="宋体" w:cs="宋体"/>
                <w:kern w:val="0"/>
                <w:sz w:val="24"/>
                <w:szCs w:val="24"/>
              </w:rPr>
              <w:t> </w:t>
            </w:r>
          </w:p>
        </w:tc>
        <w:tc>
          <w:tcPr>
            <w:tcW w:w="11916" w:type="dxa"/>
            <w:gridSpan w:val="4"/>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vMerge w:val="restart"/>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上市许可持有人</w:t>
            </w:r>
            <w:r>
              <w:rPr>
                <w:rFonts w:hint="eastAsia" w:ascii="宋体" w:hAnsi="宋体" w:eastAsia="宋体" w:cs="宋体"/>
                <w:kern w:val="0"/>
                <w:sz w:val="24"/>
                <w:szCs w:val="24"/>
              </w:rPr>
              <w:t> </w:t>
            </w:r>
          </w:p>
        </w:tc>
        <w:tc>
          <w:tcPr>
            <w:tcW w:w="2469" w:type="dxa"/>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名称</w:t>
            </w:r>
            <w:r>
              <w:rPr>
                <w:rFonts w:hint="eastAsia" w:ascii="宋体" w:hAnsi="宋体" w:eastAsia="宋体" w:cs="宋体"/>
                <w:kern w:val="0"/>
                <w:sz w:val="24"/>
                <w:szCs w:val="24"/>
              </w:rPr>
              <w:t> </w:t>
            </w:r>
          </w:p>
        </w:tc>
        <w:tc>
          <w:tcPr>
            <w:tcW w:w="9447" w:type="dxa"/>
            <w:gridSpan w:val="3"/>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vMerge w:val="continue"/>
            <w:tcBorders>
              <w:left w:val="single" w:color="auto" w:sz="4" w:space="0"/>
            </w:tcBorders>
            <w:vAlign w:val="center"/>
          </w:tcPr>
          <w:p>
            <w:pPr>
              <w:widowControl/>
              <w:adjustRightInd w:val="0"/>
              <w:snapToGrid w:val="0"/>
              <w:jc w:val="left"/>
              <w:rPr>
                <w:rFonts w:hAnsi="仿宋" w:cs="宋体"/>
                <w:kern w:val="0"/>
                <w:sz w:val="24"/>
                <w:szCs w:val="24"/>
              </w:rPr>
            </w:pPr>
          </w:p>
        </w:tc>
        <w:tc>
          <w:tcPr>
            <w:tcW w:w="2469" w:type="dxa"/>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地址</w:t>
            </w:r>
            <w:r>
              <w:rPr>
                <w:rFonts w:hint="eastAsia" w:ascii="宋体" w:hAnsi="宋体" w:eastAsia="宋体" w:cs="宋体"/>
                <w:kern w:val="0"/>
                <w:sz w:val="24"/>
                <w:szCs w:val="24"/>
              </w:rPr>
              <w:t> </w:t>
            </w:r>
          </w:p>
        </w:tc>
        <w:tc>
          <w:tcPr>
            <w:tcW w:w="9447" w:type="dxa"/>
            <w:gridSpan w:val="3"/>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vMerge w:val="restart"/>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生产企业</w:t>
            </w:r>
            <w:r>
              <w:rPr>
                <w:rFonts w:hint="eastAsia" w:ascii="宋体" w:hAnsi="宋体" w:eastAsia="宋体" w:cs="宋体"/>
                <w:kern w:val="0"/>
                <w:sz w:val="24"/>
                <w:szCs w:val="24"/>
              </w:rPr>
              <w:t> </w:t>
            </w:r>
          </w:p>
        </w:tc>
        <w:tc>
          <w:tcPr>
            <w:tcW w:w="2469" w:type="dxa"/>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名称</w:t>
            </w:r>
            <w:r>
              <w:rPr>
                <w:rFonts w:hint="eastAsia" w:ascii="宋体" w:hAnsi="宋体" w:eastAsia="宋体" w:cs="宋体"/>
                <w:kern w:val="0"/>
                <w:sz w:val="24"/>
                <w:szCs w:val="24"/>
              </w:rPr>
              <w:t> </w:t>
            </w:r>
          </w:p>
        </w:tc>
        <w:tc>
          <w:tcPr>
            <w:tcW w:w="9447" w:type="dxa"/>
            <w:gridSpan w:val="3"/>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rHeight w:val="397" w:hRule="atLeast"/>
          <w:tblCellSpacing w:w="0" w:type="dxa"/>
          <w:jc w:val="center"/>
        </w:trPr>
        <w:tc>
          <w:tcPr>
            <w:tcW w:w="2259" w:type="dxa"/>
            <w:vMerge w:val="continue"/>
            <w:tcBorders>
              <w:left w:val="single" w:color="auto" w:sz="4" w:space="0"/>
            </w:tcBorders>
            <w:vAlign w:val="center"/>
          </w:tcPr>
          <w:p>
            <w:pPr>
              <w:widowControl/>
              <w:adjustRightInd w:val="0"/>
              <w:snapToGrid w:val="0"/>
              <w:jc w:val="left"/>
              <w:rPr>
                <w:rFonts w:hAnsi="仿宋" w:cs="宋体"/>
                <w:kern w:val="0"/>
                <w:sz w:val="24"/>
                <w:szCs w:val="24"/>
              </w:rPr>
            </w:pPr>
          </w:p>
        </w:tc>
        <w:tc>
          <w:tcPr>
            <w:tcW w:w="2469" w:type="dxa"/>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地址</w:t>
            </w:r>
            <w:r>
              <w:rPr>
                <w:rFonts w:hint="eastAsia" w:ascii="宋体" w:hAnsi="宋体" w:eastAsia="宋体" w:cs="宋体"/>
                <w:kern w:val="0"/>
                <w:sz w:val="24"/>
                <w:szCs w:val="24"/>
              </w:rPr>
              <w:t> </w:t>
            </w:r>
          </w:p>
        </w:tc>
        <w:tc>
          <w:tcPr>
            <w:tcW w:w="9447" w:type="dxa"/>
            <w:gridSpan w:val="3"/>
            <w:vAlign w:val="center"/>
          </w:tcPr>
          <w:p>
            <w:pPr>
              <w:widowControl/>
              <w:adjustRightInd w:val="0"/>
              <w:snapToGrid w:val="0"/>
              <w:jc w:val="center"/>
              <w:rPr>
                <w:rFonts w:hAnsi="仿宋" w:cs="宋体"/>
                <w:kern w:val="0"/>
                <w:sz w:val="24"/>
                <w:szCs w:val="24"/>
              </w:rPr>
            </w:pP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blCellSpacing w:w="0" w:type="dxa"/>
          <w:jc w:val="center"/>
        </w:trPr>
        <w:tc>
          <w:tcPr>
            <w:tcW w:w="2259" w:type="dxa"/>
            <w:tcBorders>
              <w:left w:val="single" w:color="auto" w:sz="4" w:space="0"/>
            </w:tcBorders>
            <w:vAlign w:val="center"/>
          </w:tcPr>
          <w:p>
            <w:pPr>
              <w:widowControl/>
              <w:adjustRightInd w:val="0"/>
              <w:snapToGrid w:val="0"/>
              <w:jc w:val="center"/>
              <w:rPr>
                <w:rFonts w:hAnsi="仿宋" w:cs="宋体"/>
                <w:kern w:val="0"/>
                <w:sz w:val="24"/>
                <w:szCs w:val="24"/>
              </w:rPr>
            </w:pPr>
            <w:r>
              <w:rPr>
                <w:rFonts w:hint="eastAsia" w:hAnsi="仿宋" w:cs="宋体"/>
                <w:kern w:val="0"/>
                <w:sz w:val="24"/>
                <w:szCs w:val="24"/>
              </w:rPr>
              <w:t>技术审评结论</w:t>
            </w:r>
            <w:r>
              <w:rPr>
                <w:rFonts w:hint="eastAsia" w:ascii="宋体" w:hAnsi="宋体" w:eastAsia="宋体" w:cs="宋体"/>
                <w:kern w:val="0"/>
                <w:sz w:val="24"/>
                <w:szCs w:val="24"/>
              </w:rPr>
              <w:t> </w:t>
            </w:r>
          </w:p>
        </w:tc>
        <w:tc>
          <w:tcPr>
            <w:tcW w:w="11916" w:type="dxa"/>
            <w:gridSpan w:val="4"/>
            <w:vAlign w:val="center"/>
          </w:tcPr>
          <w:p>
            <w:pPr>
              <w:widowControl/>
              <w:adjustRightInd w:val="0"/>
              <w:snapToGrid w:val="0"/>
              <w:rPr>
                <w:rFonts w:hAnsi="仿宋" w:cs="宋体"/>
                <w:kern w:val="0"/>
                <w:sz w:val="24"/>
                <w:szCs w:val="24"/>
              </w:rPr>
            </w:pPr>
            <w:r>
              <w:rPr>
                <w:rFonts w:hint="eastAsia" w:hAnsi="仿宋" w:cs="宋体"/>
                <w:kern w:val="0"/>
                <w:sz w:val="24"/>
                <w:szCs w:val="24"/>
              </w:rPr>
              <w:t>经审评，变更备案资料符合《药品上市后变更管理办法（试行）》、《已上市XX药学变更研究技术指导原则（试行）》等有关规定。</w:t>
            </w:r>
            <w:r>
              <w:rPr>
                <w:rFonts w:hint="eastAsia" w:ascii="宋体" w:hAnsi="宋体" w:eastAsia="宋体" w:cs="宋体"/>
                <w:kern w:val="0"/>
                <w:sz w:val="24"/>
                <w:szCs w:val="24"/>
              </w:rPr>
              <w:t> </w:t>
            </w:r>
          </w:p>
          <w:p>
            <w:pPr>
              <w:widowControl/>
              <w:adjustRightInd w:val="0"/>
              <w:snapToGrid w:val="0"/>
              <w:rPr>
                <w:rFonts w:hAnsi="仿宋" w:cs="宋体"/>
                <w:kern w:val="0"/>
                <w:sz w:val="24"/>
                <w:szCs w:val="24"/>
              </w:rPr>
            </w:pPr>
            <w:r>
              <w:rPr>
                <w:rFonts w:hint="eastAsia" w:hAnsi="仿宋" w:cs="宋体"/>
                <w:kern w:val="0"/>
                <w:sz w:val="24"/>
                <w:szCs w:val="24"/>
              </w:rPr>
              <w:t>如为审核不通过（详细描述不通过原因）</w:t>
            </w:r>
            <w:r>
              <w:rPr>
                <w:rFonts w:hint="eastAsia" w:ascii="宋体" w:hAnsi="宋体" w:eastAsia="宋体" w:cs="宋体"/>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85" w:type="dxa"/>
            <w:bottom w:w="0" w:type="dxa"/>
            <w:right w:w="85" w:type="dxa"/>
          </w:tblCellMar>
        </w:tblPrEx>
        <w:trPr>
          <w:tblCellSpacing w:w="0" w:type="dxa"/>
          <w:jc w:val="center"/>
        </w:trPr>
        <w:tc>
          <w:tcPr>
            <w:tcW w:w="14175" w:type="dxa"/>
            <w:gridSpan w:val="5"/>
            <w:tcBorders>
              <w:left w:val="single" w:color="auto" w:sz="4" w:space="0"/>
            </w:tcBorders>
            <w:vAlign w:val="center"/>
          </w:tcPr>
          <w:p>
            <w:pPr>
              <w:widowControl/>
              <w:adjustRightInd w:val="0"/>
              <w:snapToGrid w:val="0"/>
              <w:jc w:val="left"/>
              <w:rPr>
                <w:rFonts w:hAnsi="仿宋" w:cs="宋体"/>
                <w:kern w:val="0"/>
                <w:sz w:val="24"/>
                <w:szCs w:val="24"/>
              </w:rPr>
            </w:pPr>
            <w:r>
              <w:rPr>
                <w:rFonts w:hint="eastAsia" w:hAnsi="仿宋" w:cs="宋体"/>
                <w:kern w:val="0"/>
                <w:sz w:val="24"/>
                <w:szCs w:val="24"/>
              </w:rPr>
              <w:t xml:space="preserve"> </w:t>
            </w:r>
          </w:p>
          <w:p>
            <w:pPr>
              <w:widowControl/>
              <w:adjustRightInd w:val="0"/>
              <w:snapToGrid w:val="0"/>
              <w:jc w:val="center"/>
              <w:rPr>
                <w:rFonts w:hAnsi="仿宋" w:cs="宋体"/>
                <w:kern w:val="0"/>
                <w:sz w:val="24"/>
                <w:szCs w:val="24"/>
              </w:rPr>
            </w:pPr>
            <w:r>
              <w:rPr>
                <w:rFonts w:hint="eastAsia" w:hAnsi="仿宋" w:cs="宋体"/>
                <w:kern w:val="0"/>
                <w:sz w:val="24"/>
                <w:szCs w:val="24"/>
              </w:rPr>
              <w:t xml:space="preserve">                                                                                                                                                 （签</w:t>
            </w:r>
            <w:r>
              <w:rPr>
                <w:rFonts w:hint="eastAsia" w:ascii="宋体" w:hAnsi="宋体" w:eastAsia="宋体" w:cs="宋体"/>
                <w:kern w:val="0"/>
                <w:sz w:val="24"/>
                <w:szCs w:val="24"/>
              </w:rPr>
              <w:t>  </w:t>
            </w:r>
            <w:r>
              <w:rPr>
                <w:rFonts w:hint="eastAsia" w:hAnsi="仿宋" w:cs="宋体"/>
                <w:kern w:val="0"/>
                <w:sz w:val="24"/>
                <w:szCs w:val="24"/>
              </w:rPr>
              <w:t>章）</w:t>
            </w:r>
            <w:r>
              <w:rPr>
                <w:rFonts w:hint="eastAsia" w:ascii="宋体" w:hAnsi="宋体" w:eastAsia="宋体" w:cs="宋体"/>
                <w:kern w:val="0"/>
                <w:sz w:val="24"/>
                <w:szCs w:val="24"/>
              </w:rPr>
              <w:t> </w:t>
            </w:r>
          </w:p>
          <w:p>
            <w:pPr>
              <w:widowControl/>
              <w:adjustRightInd w:val="0"/>
              <w:snapToGrid w:val="0"/>
              <w:jc w:val="right"/>
              <w:rPr>
                <w:rFonts w:hAnsi="仿宋" w:cs="宋体"/>
                <w:kern w:val="0"/>
                <w:sz w:val="24"/>
                <w:szCs w:val="24"/>
              </w:rPr>
            </w:pPr>
            <w:r>
              <w:rPr>
                <w:rFonts w:hint="eastAsia" w:ascii="宋体" w:hAnsi="宋体" w:eastAsia="宋体" w:cs="宋体"/>
                <w:kern w:val="0"/>
                <w:sz w:val="24"/>
                <w:szCs w:val="24"/>
              </w:rPr>
              <w:t>  </w:t>
            </w:r>
          </w:p>
          <w:p>
            <w:pPr>
              <w:widowControl/>
              <w:adjustRightInd w:val="0"/>
              <w:snapToGrid w:val="0"/>
              <w:jc w:val="right"/>
              <w:rPr>
                <w:rFonts w:hAnsi="仿宋" w:cs="宋体"/>
                <w:kern w:val="0"/>
                <w:sz w:val="24"/>
                <w:szCs w:val="24"/>
              </w:rPr>
            </w:pPr>
            <w:r>
              <w:rPr>
                <w:rFonts w:hint="eastAsia" w:hAnsi="仿宋" w:cs="宋体"/>
                <w:kern w:val="0"/>
                <w:sz w:val="24"/>
                <w:szCs w:val="24"/>
              </w:rPr>
              <w:t>年</w:t>
            </w:r>
            <w:r>
              <w:rPr>
                <w:rFonts w:hint="eastAsia" w:ascii="宋体" w:hAnsi="宋体" w:eastAsia="宋体" w:cs="宋体"/>
                <w:kern w:val="0"/>
                <w:sz w:val="24"/>
                <w:szCs w:val="24"/>
              </w:rPr>
              <w:t>    </w:t>
            </w:r>
            <w:r>
              <w:rPr>
                <w:rFonts w:hint="eastAsia" w:hAnsi="仿宋" w:cs="宋体"/>
                <w:kern w:val="0"/>
                <w:sz w:val="24"/>
                <w:szCs w:val="24"/>
              </w:rPr>
              <w:t>月</w:t>
            </w:r>
            <w:r>
              <w:rPr>
                <w:rFonts w:hint="eastAsia" w:ascii="宋体" w:hAnsi="宋体" w:eastAsia="宋体" w:cs="宋体"/>
                <w:kern w:val="0"/>
                <w:sz w:val="24"/>
                <w:szCs w:val="24"/>
              </w:rPr>
              <w:t>    </w:t>
            </w:r>
            <w:r>
              <w:rPr>
                <w:rFonts w:hint="eastAsia" w:hAnsi="仿宋" w:cs="宋体"/>
                <w:kern w:val="0"/>
                <w:sz w:val="24"/>
                <w:szCs w:val="24"/>
              </w:rPr>
              <w:t>日</w:t>
            </w:r>
          </w:p>
        </w:tc>
      </w:tr>
    </w:tbl>
    <w:p>
      <w:pPr>
        <w:adjustRightInd w:val="0"/>
        <w:spacing w:line="120" w:lineRule="exact"/>
        <w:sectPr>
          <w:footerReference r:id="rId5" w:type="default"/>
          <w:footerReference r:id="rId6" w:type="even"/>
          <w:pgSz w:w="16838" w:h="11906" w:orient="landscape"/>
          <w:pgMar w:top="1531" w:right="1134" w:bottom="1418" w:left="1134" w:header="851" w:footer="851" w:gutter="0"/>
          <w:cols w:space="425" w:num="1"/>
          <w:docGrid w:type="lines" w:linePitch="558" w:charSpace="-1683"/>
        </w:sectPr>
      </w:pPr>
      <w:bookmarkStart w:id="1" w:name="_GoBack"/>
      <w:bookmarkEnd w:id="1"/>
    </w:p>
    <w:p>
      <w:pPr>
        <w:adjustRightInd w:val="0"/>
        <w:spacing w:line="100" w:lineRule="exact"/>
        <w:rPr>
          <w:rFonts w:ascii="仿宋_GB2312"/>
        </w:rPr>
      </w:pPr>
    </w:p>
    <w:sectPr>
      <w:footerReference r:id="rId7" w:type="default"/>
      <w:footerReference r:id="rId8" w:type="even"/>
      <w:pgSz w:w="11906" w:h="16838"/>
      <w:pgMar w:top="2098" w:right="1531" w:bottom="1985" w:left="1531" w:header="851" w:footer="1531" w:gutter="0"/>
      <w:cols w:space="720" w:num="1"/>
      <w:docGrid w:type="linesAndChars" w:linePitch="577"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ind w:right="320" w:rightChars="100"/>
      <w:jc w:val="right"/>
      <w:rPr>
        <w:rFonts w:ascii="宋体" w:hAnsi="宋体" w:eastAsia="宋体"/>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w:instrText>
    </w:r>
    <w:r>
      <w:rPr>
        <w:rFonts w:ascii="宋体" w:hAnsi="宋体" w:eastAsia="宋体"/>
        <w:sz w:val="28"/>
        <w:szCs w:val="28"/>
      </w:rPr>
      <w:fldChar w:fldCharType="separate"/>
    </w:r>
    <w:r>
      <w:rPr>
        <w:rFonts w:ascii="宋体" w:hAnsi="宋体" w:eastAsia="宋体"/>
        <w:sz w:val="28"/>
        <w:szCs w:val="28"/>
      </w:rPr>
      <w:t>11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ind w:left="320" w:leftChars="100"/>
      <w:rPr>
        <w:rFonts w:ascii="宋体" w:hAnsi="宋体" w:eastAsia="宋体"/>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w:instrText>
    </w:r>
    <w:r>
      <w:rPr>
        <w:rFonts w:ascii="宋体" w:hAnsi="宋体" w:eastAsia="宋体"/>
        <w:sz w:val="28"/>
        <w:szCs w:val="28"/>
      </w:rPr>
      <w:fldChar w:fldCharType="separate"/>
    </w:r>
    <w:r>
      <w:rPr>
        <w:rFonts w:ascii="宋体" w:hAnsi="宋体" w:eastAsia="宋体"/>
        <w:sz w:val="28"/>
        <w:szCs w:val="28"/>
      </w:rPr>
      <w:t>10</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rFonts w:hint="eastAsia" w:ascii="宋体" w:hAnsi="宋体" w:eastAsia="宋体"/>
        <w:sz w:val="21"/>
        <w:szCs w:val="21"/>
      </w:rPr>
      <w:t>—</w:t>
    </w:r>
    <w:r>
      <w:rPr>
        <w:rFonts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 PAGE </w:instrText>
    </w:r>
    <w:r>
      <w:rPr>
        <w:rFonts w:ascii="宋体" w:hAnsi="宋体" w:eastAsia="宋体"/>
        <w:sz w:val="21"/>
        <w:szCs w:val="21"/>
      </w:rPr>
      <w:fldChar w:fldCharType="separate"/>
    </w:r>
    <w:r>
      <w:rPr>
        <w:rFonts w:ascii="宋体" w:hAnsi="宋体" w:eastAsia="宋体"/>
        <w:sz w:val="21"/>
        <w:szCs w:val="21"/>
      </w:rPr>
      <w:t>15</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rFonts w:hint="eastAsia" w:ascii="宋体" w:hAnsi="宋体" w:eastAsia="宋体"/>
        <w:sz w:val="21"/>
        <w:szCs w:val="21"/>
      </w:rPr>
      <w:t>—</w:t>
    </w:r>
    <w:r>
      <w:rPr>
        <w:rFonts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 PAGE </w:instrText>
    </w:r>
    <w:r>
      <w:rPr>
        <w:rFonts w:ascii="宋体" w:hAnsi="宋体" w:eastAsia="宋体"/>
        <w:sz w:val="21"/>
        <w:szCs w:val="21"/>
      </w:rPr>
      <w:fldChar w:fldCharType="separate"/>
    </w:r>
    <w:r>
      <w:rPr>
        <w:rFonts w:ascii="宋体" w:hAnsi="宋体" w:eastAsia="宋体"/>
        <w:sz w:val="21"/>
        <w:szCs w:val="21"/>
      </w:rPr>
      <w:t>14</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81"/>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6"/>
  <w:drawingGridVerticalSpacing w:val="27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5"/>
    <w:rsid w:val="00001460"/>
    <w:rsid w:val="00007DDA"/>
    <w:rsid w:val="00010A91"/>
    <w:rsid w:val="0001216D"/>
    <w:rsid w:val="0001647D"/>
    <w:rsid w:val="00026574"/>
    <w:rsid w:val="000304D2"/>
    <w:rsid w:val="0003093C"/>
    <w:rsid w:val="00031B2C"/>
    <w:rsid w:val="00033466"/>
    <w:rsid w:val="00034B0B"/>
    <w:rsid w:val="00036643"/>
    <w:rsid w:val="00036B87"/>
    <w:rsid w:val="00042B7E"/>
    <w:rsid w:val="000518BD"/>
    <w:rsid w:val="00065A07"/>
    <w:rsid w:val="0007408C"/>
    <w:rsid w:val="00076504"/>
    <w:rsid w:val="000856EA"/>
    <w:rsid w:val="00090452"/>
    <w:rsid w:val="000907FA"/>
    <w:rsid w:val="0009092F"/>
    <w:rsid w:val="0009262D"/>
    <w:rsid w:val="00093085"/>
    <w:rsid w:val="00096280"/>
    <w:rsid w:val="000A044F"/>
    <w:rsid w:val="000A09BE"/>
    <w:rsid w:val="000A661C"/>
    <w:rsid w:val="000B2A9D"/>
    <w:rsid w:val="000B6E8E"/>
    <w:rsid w:val="000C33FA"/>
    <w:rsid w:val="000C4D24"/>
    <w:rsid w:val="000D5611"/>
    <w:rsid w:val="000D5706"/>
    <w:rsid w:val="000D5DB4"/>
    <w:rsid w:val="000E01A5"/>
    <w:rsid w:val="000F17F4"/>
    <w:rsid w:val="000F6214"/>
    <w:rsid w:val="00100500"/>
    <w:rsid w:val="00100AA1"/>
    <w:rsid w:val="00105AA6"/>
    <w:rsid w:val="001078D7"/>
    <w:rsid w:val="00110AD4"/>
    <w:rsid w:val="0011137D"/>
    <w:rsid w:val="001212F4"/>
    <w:rsid w:val="00123A7E"/>
    <w:rsid w:val="00127749"/>
    <w:rsid w:val="00127E1F"/>
    <w:rsid w:val="00134DB7"/>
    <w:rsid w:val="00135AB1"/>
    <w:rsid w:val="00135C28"/>
    <w:rsid w:val="00136DFA"/>
    <w:rsid w:val="001411C5"/>
    <w:rsid w:val="00145205"/>
    <w:rsid w:val="00146AC1"/>
    <w:rsid w:val="001477C3"/>
    <w:rsid w:val="00155047"/>
    <w:rsid w:val="00160FCE"/>
    <w:rsid w:val="00163A1C"/>
    <w:rsid w:val="00172240"/>
    <w:rsid w:val="00172A27"/>
    <w:rsid w:val="001775C0"/>
    <w:rsid w:val="00177802"/>
    <w:rsid w:val="00180951"/>
    <w:rsid w:val="00190580"/>
    <w:rsid w:val="00192CC0"/>
    <w:rsid w:val="001938E0"/>
    <w:rsid w:val="00194A37"/>
    <w:rsid w:val="00195B53"/>
    <w:rsid w:val="00197969"/>
    <w:rsid w:val="001A0FEA"/>
    <w:rsid w:val="001A540B"/>
    <w:rsid w:val="001A736C"/>
    <w:rsid w:val="001B03B1"/>
    <w:rsid w:val="001B20C2"/>
    <w:rsid w:val="001B2D53"/>
    <w:rsid w:val="001B6AEC"/>
    <w:rsid w:val="001B7C8B"/>
    <w:rsid w:val="001C0268"/>
    <w:rsid w:val="001C20FA"/>
    <w:rsid w:val="001C3FEF"/>
    <w:rsid w:val="001D24E2"/>
    <w:rsid w:val="001D3922"/>
    <w:rsid w:val="001D4605"/>
    <w:rsid w:val="001D71EA"/>
    <w:rsid w:val="001E4CF0"/>
    <w:rsid w:val="001E7C9E"/>
    <w:rsid w:val="001F3CAF"/>
    <w:rsid w:val="001F516E"/>
    <w:rsid w:val="0020107E"/>
    <w:rsid w:val="00202BE4"/>
    <w:rsid w:val="002056F6"/>
    <w:rsid w:val="002172F6"/>
    <w:rsid w:val="0022346F"/>
    <w:rsid w:val="00226E17"/>
    <w:rsid w:val="00230F88"/>
    <w:rsid w:val="002310C1"/>
    <w:rsid w:val="00232B1E"/>
    <w:rsid w:val="00237D57"/>
    <w:rsid w:val="002406CF"/>
    <w:rsid w:val="00245EF3"/>
    <w:rsid w:val="002466FE"/>
    <w:rsid w:val="00247BEA"/>
    <w:rsid w:val="00254968"/>
    <w:rsid w:val="00255986"/>
    <w:rsid w:val="00261100"/>
    <w:rsid w:val="0026481B"/>
    <w:rsid w:val="0027198C"/>
    <w:rsid w:val="002810FC"/>
    <w:rsid w:val="002A3721"/>
    <w:rsid w:val="002A7815"/>
    <w:rsid w:val="002B2387"/>
    <w:rsid w:val="002B3936"/>
    <w:rsid w:val="002B73B9"/>
    <w:rsid w:val="002C1620"/>
    <w:rsid w:val="002C20DF"/>
    <w:rsid w:val="002D1098"/>
    <w:rsid w:val="002D1E19"/>
    <w:rsid w:val="002D2F39"/>
    <w:rsid w:val="002D34BE"/>
    <w:rsid w:val="002D52D7"/>
    <w:rsid w:val="002E15D2"/>
    <w:rsid w:val="002E33BF"/>
    <w:rsid w:val="002E524C"/>
    <w:rsid w:val="002F27C5"/>
    <w:rsid w:val="0030124A"/>
    <w:rsid w:val="003052F8"/>
    <w:rsid w:val="00306067"/>
    <w:rsid w:val="0030633F"/>
    <w:rsid w:val="00314250"/>
    <w:rsid w:val="0031544B"/>
    <w:rsid w:val="00315FFF"/>
    <w:rsid w:val="00316F19"/>
    <w:rsid w:val="00326FAC"/>
    <w:rsid w:val="0032759F"/>
    <w:rsid w:val="003319F7"/>
    <w:rsid w:val="00334884"/>
    <w:rsid w:val="00334A85"/>
    <w:rsid w:val="00335DB5"/>
    <w:rsid w:val="00336723"/>
    <w:rsid w:val="00341AEC"/>
    <w:rsid w:val="00354007"/>
    <w:rsid w:val="003546EA"/>
    <w:rsid w:val="00354E2B"/>
    <w:rsid w:val="003619D9"/>
    <w:rsid w:val="00365722"/>
    <w:rsid w:val="00370DCB"/>
    <w:rsid w:val="0038097A"/>
    <w:rsid w:val="0039277F"/>
    <w:rsid w:val="00395500"/>
    <w:rsid w:val="00395539"/>
    <w:rsid w:val="00397083"/>
    <w:rsid w:val="003A301B"/>
    <w:rsid w:val="003A5840"/>
    <w:rsid w:val="003A6598"/>
    <w:rsid w:val="003A6C54"/>
    <w:rsid w:val="003B7B94"/>
    <w:rsid w:val="003C2C84"/>
    <w:rsid w:val="003C492C"/>
    <w:rsid w:val="003D4893"/>
    <w:rsid w:val="003E01B2"/>
    <w:rsid w:val="003E7C03"/>
    <w:rsid w:val="003F5B79"/>
    <w:rsid w:val="003F678E"/>
    <w:rsid w:val="0040595C"/>
    <w:rsid w:val="00405E81"/>
    <w:rsid w:val="00406D35"/>
    <w:rsid w:val="00410774"/>
    <w:rsid w:val="0041749A"/>
    <w:rsid w:val="004233CE"/>
    <w:rsid w:val="00424307"/>
    <w:rsid w:val="00436549"/>
    <w:rsid w:val="004367DA"/>
    <w:rsid w:val="00437493"/>
    <w:rsid w:val="00441862"/>
    <w:rsid w:val="004429D4"/>
    <w:rsid w:val="0044405D"/>
    <w:rsid w:val="00444EB3"/>
    <w:rsid w:val="00453B0E"/>
    <w:rsid w:val="00454121"/>
    <w:rsid w:val="004554A9"/>
    <w:rsid w:val="00460188"/>
    <w:rsid w:val="00460799"/>
    <w:rsid w:val="004628A0"/>
    <w:rsid w:val="00462F96"/>
    <w:rsid w:val="00463097"/>
    <w:rsid w:val="004659BD"/>
    <w:rsid w:val="00471843"/>
    <w:rsid w:val="00472C08"/>
    <w:rsid w:val="004739EB"/>
    <w:rsid w:val="00474241"/>
    <w:rsid w:val="00482B95"/>
    <w:rsid w:val="004857E0"/>
    <w:rsid w:val="00487C42"/>
    <w:rsid w:val="0049122D"/>
    <w:rsid w:val="00491C42"/>
    <w:rsid w:val="004929D1"/>
    <w:rsid w:val="00494DD0"/>
    <w:rsid w:val="004969D2"/>
    <w:rsid w:val="0049759D"/>
    <w:rsid w:val="004A486F"/>
    <w:rsid w:val="004B2412"/>
    <w:rsid w:val="004B3F5C"/>
    <w:rsid w:val="004B6619"/>
    <w:rsid w:val="004C3945"/>
    <w:rsid w:val="004C3DFE"/>
    <w:rsid w:val="004D2002"/>
    <w:rsid w:val="004D6080"/>
    <w:rsid w:val="004D7D98"/>
    <w:rsid w:val="004E7A41"/>
    <w:rsid w:val="004F03A9"/>
    <w:rsid w:val="004F2424"/>
    <w:rsid w:val="004F30C6"/>
    <w:rsid w:val="00503A5A"/>
    <w:rsid w:val="00510BBB"/>
    <w:rsid w:val="00511FC3"/>
    <w:rsid w:val="00514C57"/>
    <w:rsid w:val="005213F7"/>
    <w:rsid w:val="005237EC"/>
    <w:rsid w:val="005272CF"/>
    <w:rsid w:val="005360E1"/>
    <w:rsid w:val="00541A42"/>
    <w:rsid w:val="005447EE"/>
    <w:rsid w:val="00545C57"/>
    <w:rsid w:val="0054788E"/>
    <w:rsid w:val="005514B1"/>
    <w:rsid w:val="005518B2"/>
    <w:rsid w:val="00555FB9"/>
    <w:rsid w:val="005577FF"/>
    <w:rsid w:val="0055784B"/>
    <w:rsid w:val="00560ED8"/>
    <w:rsid w:val="00573523"/>
    <w:rsid w:val="00576082"/>
    <w:rsid w:val="0057616B"/>
    <w:rsid w:val="005804E8"/>
    <w:rsid w:val="005828D9"/>
    <w:rsid w:val="00583D9F"/>
    <w:rsid w:val="005855E4"/>
    <w:rsid w:val="00587BA6"/>
    <w:rsid w:val="005A027B"/>
    <w:rsid w:val="005A3ADE"/>
    <w:rsid w:val="005A4E71"/>
    <w:rsid w:val="005A608A"/>
    <w:rsid w:val="005A60D0"/>
    <w:rsid w:val="005B189B"/>
    <w:rsid w:val="005B2217"/>
    <w:rsid w:val="005B701B"/>
    <w:rsid w:val="005C007F"/>
    <w:rsid w:val="005C6DF9"/>
    <w:rsid w:val="005D1968"/>
    <w:rsid w:val="005D240A"/>
    <w:rsid w:val="005D44F8"/>
    <w:rsid w:val="005D5DD7"/>
    <w:rsid w:val="005D7E11"/>
    <w:rsid w:val="005E1E63"/>
    <w:rsid w:val="005E3EDC"/>
    <w:rsid w:val="00600F84"/>
    <w:rsid w:val="00604DB3"/>
    <w:rsid w:val="00612E96"/>
    <w:rsid w:val="0061329E"/>
    <w:rsid w:val="00613F5A"/>
    <w:rsid w:val="006143E9"/>
    <w:rsid w:val="006228F7"/>
    <w:rsid w:val="00622F90"/>
    <w:rsid w:val="00626ED9"/>
    <w:rsid w:val="0062707B"/>
    <w:rsid w:val="00632169"/>
    <w:rsid w:val="006346D9"/>
    <w:rsid w:val="006349EC"/>
    <w:rsid w:val="00636FD8"/>
    <w:rsid w:val="00637957"/>
    <w:rsid w:val="00643963"/>
    <w:rsid w:val="00643F36"/>
    <w:rsid w:val="006442F5"/>
    <w:rsid w:val="00654497"/>
    <w:rsid w:val="00664EC0"/>
    <w:rsid w:val="00666E13"/>
    <w:rsid w:val="00667FD4"/>
    <w:rsid w:val="006703E4"/>
    <w:rsid w:val="006742EC"/>
    <w:rsid w:val="006746BC"/>
    <w:rsid w:val="00675571"/>
    <w:rsid w:val="00676F91"/>
    <w:rsid w:val="006840A8"/>
    <w:rsid w:val="00692449"/>
    <w:rsid w:val="00694B8E"/>
    <w:rsid w:val="006978EA"/>
    <w:rsid w:val="006A018A"/>
    <w:rsid w:val="006B0381"/>
    <w:rsid w:val="006B21D7"/>
    <w:rsid w:val="006B4F34"/>
    <w:rsid w:val="006B771E"/>
    <w:rsid w:val="006C2177"/>
    <w:rsid w:val="006C4462"/>
    <w:rsid w:val="006D2D44"/>
    <w:rsid w:val="006E0C21"/>
    <w:rsid w:val="006E21BB"/>
    <w:rsid w:val="006E25B9"/>
    <w:rsid w:val="006E3B68"/>
    <w:rsid w:val="006E5A3C"/>
    <w:rsid w:val="006F063E"/>
    <w:rsid w:val="006F0FB8"/>
    <w:rsid w:val="006F5319"/>
    <w:rsid w:val="00700A25"/>
    <w:rsid w:val="00703A18"/>
    <w:rsid w:val="00704880"/>
    <w:rsid w:val="00706622"/>
    <w:rsid w:val="007123D8"/>
    <w:rsid w:val="007132E8"/>
    <w:rsid w:val="007138A8"/>
    <w:rsid w:val="007145C0"/>
    <w:rsid w:val="00721A92"/>
    <w:rsid w:val="007230F9"/>
    <w:rsid w:val="007234A3"/>
    <w:rsid w:val="00731DB7"/>
    <w:rsid w:val="00733526"/>
    <w:rsid w:val="0073734C"/>
    <w:rsid w:val="00743C1C"/>
    <w:rsid w:val="00744F7E"/>
    <w:rsid w:val="00746671"/>
    <w:rsid w:val="007478A1"/>
    <w:rsid w:val="007502AE"/>
    <w:rsid w:val="00751061"/>
    <w:rsid w:val="00754640"/>
    <w:rsid w:val="0076051B"/>
    <w:rsid w:val="00760E90"/>
    <w:rsid w:val="00763532"/>
    <w:rsid w:val="00764311"/>
    <w:rsid w:val="00770187"/>
    <w:rsid w:val="00772737"/>
    <w:rsid w:val="00772CBA"/>
    <w:rsid w:val="00775A25"/>
    <w:rsid w:val="00776D2E"/>
    <w:rsid w:val="00780B9E"/>
    <w:rsid w:val="007835B6"/>
    <w:rsid w:val="00783A1A"/>
    <w:rsid w:val="007918B1"/>
    <w:rsid w:val="00797585"/>
    <w:rsid w:val="007A1E43"/>
    <w:rsid w:val="007A44CD"/>
    <w:rsid w:val="007A78F7"/>
    <w:rsid w:val="007B2300"/>
    <w:rsid w:val="007B2B14"/>
    <w:rsid w:val="007B5571"/>
    <w:rsid w:val="007B5D66"/>
    <w:rsid w:val="007B6B26"/>
    <w:rsid w:val="007C2C5D"/>
    <w:rsid w:val="007C52D3"/>
    <w:rsid w:val="007C726A"/>
    <w:rsid w:val="007D14C4"/>
    <w:rsid w:val="007E3B34"/>
    <w:rsid w:val="007F1857"/>
    <w:rsid w:val="00802012"/>
    <w:rsid w:val="008049D5"/>
    <w:rsid w:val="008075D0"/>
    <w:rsid w:val="008129C6"/>
    <w:rsid w:val="00812D3D"/>
    <w:rsid w:val="0082299B"/>
    <w:rsid w:val="00824232"/>
    <w:rsid w:val="00834E6E"/>
    <w:rsid w:val="00835EC6"/>
    <w:rsid w:val="00851922"/>
    <w:rsid w:val="00855F05"/>
    <w:rsid w:val="0086301B"/>
    <w:rsid w:val="008651CC"/>
    <w:rsid w:val="00871EA2"/>
    <w:rsid w:val="008770B1"/>
    <w:rsid w:val="008805DF"/>
    <w:rsid w:val="0088620A"/>
    <w:rsid w:val="0088678F"/>
    <w:rsid w:val="00887F66"/>
    <w:rsid w:val="00895784"/>
    <w:rsid w:val="008A1392"/>
    <w:rsid w:val="008A469C"/>
    <w:rsid w:val="008A7740"/>
    <w:rsid w:val="008B28D2"/>
    <w:rsid w:val="008B6E63"/>
    <w:rsid w:val="008C1136"/>
    <w:rsid w:val="008C4D53"/>
    <w:rsid w:val="008D1552"/>
    <w:rsid w:val="008D3DD5"/>
    <w:rsid w:val="008E27AB"/>
    <w:rsid w:val="008E4B4D"/>
    <w:rsid w:val="008E51EB"/>
    <w:rsid w:val="008E5759"/>
    <w:rsid w:val="008F5282"/>
    <w:rsid w:val="008F7593"/>
    <w:rsid w:val="00900CF8"/>
    <w:rsid w:val="00902231"/>
    <w:rsid w:val="00902DFA"/>
    <w:rsid w:val="009075FB"/>
    <w:rsid w:val="00916DC1"/>
    <w:rsid w:val="00920990"/>
    <w:rsid w:val="00930711"/>
    <w:rsid w:val="00931601"/>
    <w:rsid w:val="00940B58"/>
    <w:rsid w:val="00940BE4"/>
    <w:rsid w:val="00941E11"/>
    <w:rsid w:val="00942667"/>
    <w:rsid w:val="0094461B"/>
    <w:rsid w:val="00945997"/>
    <w:rsid w:val="009509A1"/>
    <w:rsid w:val="009514DD"/>
    <w:rsid w:val="00953AA3"/>
    <w:rsid w:val="009626C5"/>
    <w:rsid w:val="009661D1"/>
    <w:rsid w:val="00966B13"/>
    <w:rsid w:val="00967BD6"/>
    <w:rsid w:val="00967F50"/>
    <w:rsid w:val="00970D5C"/>
    <w:rsid w:val="009717D0"/>
    <w:rsid w:val="00972565"/>
    <w:rsid w:val="00972E0D"/>
    <w:rsid w:val="0097601F"/>
    <w:rsid w:val="00976B7D"/>
    <w:rsid w:val="00984A23"/>
    <w:rsid w:val="009862AF"/>
    <w:rsid w:val="0099057E"/>
    <w:rsid w:val="00991C05"/>
    <w:rsid w:val="00992CA9"/>
    <w:rsid w:val="009965C2"/>
    <w:rsid w:val="00996C4A"/>
    <w:rsid w:val="00997B33"/>
    <w:rsid w:val="009A03F8"/>
    <w:rsid w:val="009A7C14"/>
    <w:rsid w:val="009B1DAB"/>
    <w:rsid w:val="009B68B3"/>
    <w:rsid w:val="009B7C9B"/>
    <w:rsid w:val="009C32A1"/>
    <w:rsid w:val="009C41EB"/>
    <w:rsid w:val="009C4A4A"/>
    <w:rsid w:val="009C5DBF"/>
    <w:rsid w:val="009D06DA"/>
    <w:rsid w:val="009D29C0"/>
    <w:rsid w:val="009D40E9"/>
    <w:rsid w:val="009D7779"/>
    <w:rsid w:val="009E265C"/>
    <w:rsid w:val="009E456E"/>
    <w:rsid w:val="009E793E"/>
    <w:rsid w:val="00A04E5B"/>
    <w:rsid w:val="00A07BC4"/>
    <w:rsid w:val="00A12481"/>
    <w:rsid w:val="00A12A2E"/>
    <w:rsid w:val="00A2165B"/>
    <w:rsid w:val="00A220D1"/>
    <w:rsid w:val="00A23DD3"/>
    <w:rsid w:val="00A26367"/>
    <w:rsid w:val="00A271E6"/>
    <w:rsid w:val="00A3270B"/>
    <w:rsid w:val="00A34B54"/>
    <w:rsid w:val="00A34CE9"/>
    <w:rsid w:val="00A34FCB"/>
    <w:rsid w:val="00A3554C"/>
    <w:rsid w:val="00A35B76"/>
    <w:rsid w:val="00A35DFE"/>
    <w:rsid w:val="00A37148"/>
    <w:rsid w:val="00A40529"/>
    <w:rsid w:val="00A412CC"/>
    <w:rsid w:val="00A45C1A"/>
    <w:rsid w:val="00A45C74"/>
    <w:rsid w:val="00A464B3"/>
    <w:rsid w:val="00A53AA9"/>
    <w:rsid w:val="00A55DDA"/>
    <w:rsid w:val="00A5697C"/>
    <w:rsid w:val="00A57EA2"/>
    <w:rsid w:val="00A6107E"/>
    <w:rsid w:val="00A61665"/>
    <w:rsid w:val="00A63ADD"/>
    <w:rsid w:val="00A80D5F"/>
    <w:rsid w:val="00A8128B"/>
    <w:rsid w:val="00A86802"/>
    <w:rsid w:val="00A903CE"/>
    <w:rsid w:val="00A92303"/>
    <w:rsid w:val="00A93017"/>
    <w:rsid w:val="00A976B3"/>
    <w:rsid w:val="00AA2BAA"/>
    <w:rsid w:val="00AB0BE9"/>
    <w:rsid w:val="00AB392C"/>
    <w:rsid w:val="00AB685C"/>
    <w:rsid w:val="00AC1F7F"/>
    <w:rsid w:val="00AC37B1"/>
    <w:rsid w:val="00AC6562"/>
    <w:rsid w:val="00AD21FF"/>
    <w:rsid w:val="00AD30FA"/>
    <w:rsid w:val="00AD46BF"/>
    <w:rsid w:val="00AD4D55"/>
    <w:rsid w:val="00AE2358"/>
    <w:rsid w:val="00AE29AF"/>
    <w:rsid w:val="00AE40C5"/>
    <w:rsid w:val="00AF0B91"/>
    <w:rsid w:val="00AF11AD"/>
    <w:rsid w:val="00AF5754"/>
    <w:rsid w:val="00AF596B"/>
    <w:rsid w:val="00B00BBE"/>
    <w:rsid w:val="00B00FC2"/>
    <w:rsid w:val="00B02539"/>
    <w:rsid w:val="00B03D64"/>
    <w:rsid w:val="00B1408D"/>
    <w:rsid w:val="00B16976"/>
    <w:rsid w:val="00B24018"/>
    <w:rsid w:val="00B413CF"/>
    <w:rsid w:val="00B4536D"/>
    <w:rsid w:val="00B46CC0"/>
    <w:rsid w:val="00B5054E"/>
    <w:rsid w:val="00B52853"/>
    <w:rsid w:val="00B5425F"/>
    <w:rsid w:val="00B557BB"/>
    <w:rsid w:val="00B55FA8"/>
    <w:rsid w:val="00B60F84"/>
    <w:rsid w:val="00B6288E"/>
    <w:rsid w:val="00B6706B"/>
    <w:rsid w:val="00B71001"/>
    <w:rsid w:val="00B713CB"/>
    <w:rsid w:val="00B723E5"/>
    <w:rsid w:val="00B81FEF"/>
    <w:rsid w:val="00B926AF"/>
    <w:rsid w:val="00B93C8F"/>
    <w:rsid w:val="00BB08D3"/>
    <w:rsid w:val="00BB0C8C"/>
    <w:rsid w:val="00BB1257"/>
    <w:rsid w:val="00BB1839"/>
    <w:rsid w:val="00BB3166"/>
    <w:rsid w:val="00BB3934"/>
    <w:rsid w:val="00BB6FF1"/>
    <w:rsid w:val="00BC0E7C"/>
    <w:rsid w:val="00BC4567"/>
    <w:rsid w:val="00BC4DA8"/>
    <w:rsid w:val="00BC4F03"/>
    <w:rsid w:val="00BD1B8B"/>
    <w:rsid w:val="00BD3CFB"/>
    <w:rsid w:val="00BE360E"/>
    <w:rsid w:val="00BF4D70"/>
    <w:rsid w:val="00BF51EE"/>
    <w:rsid w:val="00C04414"/>
    <w:rsid w:val="00C04700"/>
    <w:rsid w:val="00C07723"/>
    <w:rsid w:val="00C137C8"/>
    <w:rsid w:val="00C15200"/>
    <w:rsid w:val="00C1568E"/>
    <w:rsid w:val="00C21A1C"/>
    <w:rsid w:val="00C30721"/>
    <w:rsid w:val="00C31FAD"/>
    <w:rsid w:val="00C463B6"/>
    <w:rsid w:val="00C50EE7"/>
    <w:rsid w:val="00C555EC"/>
    <w:rsid w:val="00C55635"/>
    <w:rsid w:val="00C56303"/>
    <w:rsid w:val="00C56381"/>
    <w:rsid w:val="00C604AB"/>
    <w:rsid w:val="00C6679C"/>
    <w:rsid w:val="00C677FB"/>
    <w:rsid w:val="00C72F0A"/>
    <w:rsid w:val="00C779D8"/>
    <w:rsid w:val="00C84552"/>
    <w:rsid w:val="00C96640"/>
    <w:rsid w:val="00CA11E4"/>
    <w:rsid w:val="00CA2BF4"/>
    <w:rsid w:val="00CA579E"/>
    <w:rsid w:val="00CB5552"/>
    <w:rsid w:val="00CB710A"/>
    <w:rsid w:val="00CC331F"/>
    <w:rsid w:val="00CC6194"/>
    <w:rsid w:val="00CC692C"/>
    <w:rsid w:val="00CC73AC"/>
    <w:rsid w:val="00CD0607"/>
    <w:rsid w:val="00CD2B27"/>
    <w:rsid w:val="00CD51D8"/>
    <w:rsid w:val="00CD5AC3"/>
    <w:rsid w:val="00CD723A"/>
    <w:rsid w:val="00CE12A8"/>
    <w:rsid w:val="00CE44B3"/>
    <w:rsid w:val="00CE582C"/>
    <w:rsid w:val="00CF7938"/>
    <w:rsid w:val="00CF7A69"/>
    <w:rsid w:val="00D0219C"/>
    <w:rsid w:val="00D02AE4"/>
    <w:rsid w:val="00D03176"/>
    <w:rsid w:val="00D03FA4"/>
    <w:rsid w:val="00D06647"/>
    <w:rsid w:val="00D1267D"/>
    <w:rsid w:val="00D1549D"/>
    <w:rsid w:val="00D15830"/>
    <w:rsid w:val="00D252B3"/>
    <w:rsid w:val="00D27C7E"/>
    <w:rsid w:val="00D3348C"/>
    <w:rsid w:val="00D37A1E"/>
    <w:rsid w:val="00D44314"/>
    <w:rsid w:val="00D44492"/>
    <w:rsid w:val="00D44824"/>
    <w:rsid w:val="00D467CB"/>
    <w:rsid w:val="00D47000"/>
    <w:rsid w:val="00D52DFC"/>
    <w:rsid w:val="00D557C4"/>
    <w:rsid w:val="00D571D0"/>
    <w:rsid w:val="00D610FA"/>
    <w:rsid w:val="00D6116E"/>
    <w:rsid w:val="00D61D79"/>
    <w:rsid w:val="00D6495B"/>
    <w:rsid w:val="00D72219"/>
    <w:rsid w:val="00D72C2B"/>
    <w:rsid w:val="00D74A1C"/>
    <w:rsid w:val="00D803E2"/>
    <w:rsid w:val="00D81490"/>
    <w:rsid w:val="00D836AC"/>
    <w:rsid w:val="00D83BFB"/>
    <w:rsid w:val="00D842D6"/>
    <w:rsid w:val="00D92A26"/>
    <w:rsid w:val="00D93125"/>
    <w:rsid w:val="00D9737A"/>
    <w:rsid w:val="00DA0637"/>
    <w:rsid w:val="00DA0744"/>
    <w:rsid w:val="00DA576F"/>
    <w:rsid w:val="00DB123A"/>
    <w:rsid w:val="00DB3E44"/>
    <w:rsid w:val="00DB7F2E"/>
    <w:rsid w:val="00DC4077"/>
    <w:rsid w:val="00DC410E"/>
    <w:rsid w:val="00DD00DF"/>
    <w:rsid w:val="00DD1836"/>
    <w:rsid w:val="00DD41D5"/>
    <w:rsid w:val="00DD5905"/>
    <w:rsid w:val="00DD609A"/>
    <w:rsid w:val="00DD6F81"/>
    <w:rsid w:val="00DE1A64"/>
    <w:rsid w:val="00DE3E00"/>
    <w:rsid w:val="00DE747C"/>
    <w:rsid w:val="00DF262E"/>
    <w:rsid w:val="00DF39CE"/>
    <w:rsid w:val="00DF777B"/>
    <w:rsid w:val="00E00118"/>
    <w:rsid w:val="00E05372"/>
    <w:rsid w:val="00E10084"/>
    <w:rsid w:val="00E121D1"/>
    <w:rsid w:val="00E13EC1"/>
    <w:rsid w:val="00E14570"/>
    <w:rsid w:val="00E15C39"/>
    <w:rsid w:val="00E379E4"/>
    <w:rsid w:val="00E37C53"/>
    <w:rsid w:val="00E40A7A"/>
    <w:rsid w:val="00E413B4"/>
    <w:rsid w:val="00E4280F"/>
    <w:rsid w:val="00E44192"/>
    <w:rsid w:val="00E443A6"/>
    <w:rsid w:val="00E443D3"/>
    <w:rsid w:val="00E4486C"/>
    <w:rsid w:val="00E45FF0"/>
    <w:rsid w:val="00E50BDB"/>
    <w:rsid w:val="00E52002"/>
    <w:rsid w:val="00E55D7F"/>
    <w:rsid w:val="00E5695B"/>
    <w:rsid w:val="00E60F27"/>
    <w:rsid w:val="00E62B90"/>
    <w:rsid w:val="00E63A45"/>
    <w:rsid w:val="00E64D46"/>
    <w:rsid w:val="00E76926"/>
    <w:rsid w:val="00E80228"/>
    <w:rsid w:val="00E92092"/>
    <w:rsid w:val="00E94FC6"/>
    <w:rsid w:val="00EB2028"/>
    <w:rsid w:val="00EB3AC9"/>
    <w:rsid w:val="00EB44BA"/>
    <w:rsid w:val="00EC18FD"/>
    <w:rsid w:val="00EE0235"/>
    <w:rsid w:val="00EE3380"/>
    <w:rsid w:val="00EE47B0"/>
    <w:rsid w:val="00EE7367"/>
    <w:rsid w:val="00EF044D"/>
    <w:rsid w:val="00EF2BFD"/>
    <w:rsid w:val="00EF770E"/>
    <w:rsid w:val="00F00601"/>
    <w:rsid w:val="00F02A7A"/>
    <w:rsid w:val="00F03587"/>
    <w:rsid w:val="00F04DBA"/>
    <w:rsid w:val="00F13C43"/>
    <w:rsid w:val="00F173BD"/>
    <w:rsid w:val="00F17519"/>
    <w:rsid w:val="00F202BB"/>
    <w:rsid w:val="00F2144E"/>
    <w:rsid w:val="00F22572"/>
    <w:rsid w:val="00F22CC3"/>
    <w:rsid w:val="00F3007F"/>
    <w:rsid w:val="00F30EFB"/>
    <w:rsid w:val="00F31EE4"/>
    <w:rsid w:val="00F326E4"/>
    <w:rsid w:val="00F40F67"/>
    <w:rsid w:val="00F51D1E"/>
    <w:rsid w:val="00F565B5"/>
    <w:rsid w:val="00F57502"/>
    <w:rsid w:val="00F60D58"/>
    <w:rsid w:val="00F6179F"/>
    <w:rsid w:val="00F746A8"/>
    <w:rsid w:val="00F77BEA"/>
    <w:rsid w:val="00F77FB7"/>
    <w:rsid w:val="00FA3D83"/>
    <w:rsid w:val="00FB4F9C"/>
    <w:rsid w:val="00FB616A"/>
    <w:rsid w:val="00FD2678"/>
    <w:rsid w:val="00FD7D81"/>
    <w:rsid w:val="00FE0BB6"/>
    <w:rsid w:val="00FE232B"/>
    <w:rsid w:val="00FE351D"/>
    <w:rsid w:val="00FE3FEA"/>
    <w:rsid w:val="00FE4978"/>
    <w:rsid w:val="00FE6979"/>
    <w:rsid w:val="00FF1DAB"/>
    <w:rsid w:val="00FF2A1B"/>
    <w:rsid w:val="00FF53F4"/>
    <w:rsid w:val="08BE2A70"/>
    <w:rsid w:val="2BA140E1"/>
    <w:rsid w:val="48E91BE8"/>
    <w:rsid w:val="5FF41224"/>
    <w:rsid w:val="63F34C15"/>
    <w:rsid w:val="64A3664A"/>
    <w:rsid w:val="7ACE5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3">
    <w:name w:val="heading 9"/>
    <w:basedOn w:val="1"/>
    <w:next w:val="1"/>
    <w:link w:val="70"/>
    <w:qFormat/>
    <w:uiPriority w:val="0"/>
    <w:pPr>
      <w:keepNext/>
      <w:keepLines/>
      <w:spacing w:before="240" w:after="64" w:line="317" w:lineRule="auto"/>
      <w:outlineLvl w:val="8"/>
    </w:pPr>
    <w:rPr>
      <w:rFonts w:ascii="Arial" w:hAnsi="Arial" w:eastAsia="黑体"/>
      <w:kern w:val="0"/>
      <w:sz w:val="21"/>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acro"/>
    <w:link w:val="7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lang w:val="en-US" w:eastAsia="zh-CN" w:bidi="ar-SA"/>
    </w:rPr>
  </w:style>
  <w:style w:type="paragraph" w:styleId="4">
    <w:name w:val="Block Text"/>
    <w:basedOn w:val="1"/>
    <w:link w:val="75"/>
    <w:qFormat/>
    <w:uiPriority w:val="0"/>
    <w:pPr>
      <w:spacing w:after="120"/>
      <w:ind w:left="1440" w:leftChars="700" w:right="700" w:rightChars="700"/>
    </w:pPr>
    <w:rPr>
      <w:rFonts w:ascii="Times New Roman" w:eastAsia="宋体"/>
      <w:sz w:val="21"/>
      <w:szCs w:val="24"/>
    </w:rPr>
  </w:style>
  <w:style w:type="paragraph" w:styleId="5">
    <w:name w:val="Plain Text"/>
    <w:basedOn w:val="1"/>
    <w:link w:val="77"/>
    <w:qFormat/>
    <w:uiPriority w:val="0"/>
    <w:pPr>
      <w:suppressAutoHyphens/>
      <w:jc w:val="left"/>
    </w:pPr>
    <w:rPr>
      <w:rFonts w:ascii="宋体" w:hAnsi="宋体" w:eastAsia="宋体" w:cs="Courier New"/>
      <w:kern w:val="1"/>
      <w:sz w:val="24"/>
      <w:szCs w:val="21"/>
      <w:lang w:val="zh-CN" w:eastAsia="hi-IN" w:bidi="hi-IN"/>
    </w:rPr>
  </w:style>
  <w:style w:type="paragraph" w:styleId="6">
    <w:name w:val="Date"/>
    <w:basedOn w:val="1"/>
    <w:next w:val="1"/>
    <w:link w:val="23"/>
    <w:qFormat/>
    <w:uiPriority w:val="0"/>
    <w:pPr>
      <w:ind w:left="100" w:leftChars="2500"/>
    </w:pPr>
  </w:style>
  <w:style w:type="paragraph" w:styleId="7">
    <w:name w:val="Balloon Text"/>
    <w:basedOn w:val="1"/>
    <w:link w:val="24"/>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sz w:val="18"/>
    </w:rPr>
  </w:style>
  <w:style w:type="paragraph" w:styleId="10">
    <w:name w:val="List 5"/>
    <w:basedOn w:val="1"/>
    <w:link w:val="74"/>
    <w:qFormat/>
    <w:uiPriority w:val="0"/>
    <w:pPr>
      <w:ind w:left="100" w:leftChars="800" w:hanging="200" w:hangingChars="200"/>
    </w:pPr>
    <w:rPr>
      <w:rFonts w:ascii="Times New Roman" w:eastAsia="宋体"/>
      <w:sz w:val="21"/>
      <w:szCs w:val="24"/>
    </w:rPr>
  </w:style>
  <w:style w:type="paragraph" w:styleId="11">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qFormat/>
    <w:uiPriority w:val="0"/>
    <w:rPr>
      <w:rFonts w:ascii="Times New Roman" w:hAnsi="Times New Roman" w:eastAsia="宋体"/>
      <w:sz w:val="18"/>
    </w:rPr>
  </w:style>
  <w:style w:type="character" w:styleId="18">
    <w:name w:val="FollowedHyperlink"/>
    <w:unhideWhenUsed/>
    <w:qFormat/>
    <w:uiPriority w:val="99"/>
    <w:rPr>
      <w:color w:val="800080"/>
      <w:u w:val="single"/>
    </w:rPr>
  </w:style>
  <w:style w:type="character" w:styleId="19">
    <w:name w:val="Emphasis"/>
    <w:qFormat/>
    <w:uiPriority w:val="20"/>
    <w:rPr>
      <w:i/>
      <w:iCs/>
    </w:rPr>
  </w:style>
  <w:style w:type="character" w:styleId="20">
    <w:name w:val="Hyperlink"/>
    <w:unhideWhenUsed/>
    <w:qFormat/>
    <w:uiPriority w:val="99"/>
    <w:rPr>
      <w:color w:val="0000FF"/>
      <w:u w:val="single"/>
    </w:rPr>
  </w:style>
  <w:style w:type="character" w:customStyle="1" w:styleId="21">
    <w:name w:val="页眉 Char"/>
    <w:link w:val="9"/>
    <w:qFormat/>
    <w:uiPriority w:val="0"/>
    <w:rPr>
      <w:kern w:val="2"/>
      <w:sz w:val="18"/>
    </w:rPr>
  </w:style>
  <w:style w:type="character" w:customStyle="1" w:styleId="22">
    <w:name w:val="页脚 Char"/>
    <w:link w:val="8"/>
    <w:qFormat/>
    <w:uiPriority w:val="99"/>
    <w:rPr>
      <w:kern w:val="2"/>
      <w:sz w:val="18"/>
    </w:rPr>
  </w:style>
  <w:style w:type="character" w:customStyle="1" w:styleId="23">
    <w:name w:val="日期 Char"/>
    <w:link w:val="6"/>
    <w:qFormat/>
    <w:uiPriority w:val="0"/>
    <w:rPr>
      <w:rFonts w:eastAsia="仿宋_GB2312"/>
      <w:kern w:val="2"/>
      <w:sz w:val="32"/>
    </w:rPr>
  </w:style>
  <w:style w:type="character" w:customStyle="1" w:styleId="24">
    <w:name w:val="批注框文本 Char"/>
    <w:link w:val="7"/>
    <w:qFormat/>
    <w:uiPriority w:val="0"/>
    <w:rPr>
      <w:rFonts w:eastAsia="仿宋_GB2312"/>
      <w:kern w:val="2"/>
      <w:sz w:val="18"/>
      <w:szCs w:val="18"/>
    </w:rPr>
  </w:style>
  <w:style w:type="paragraph" w:styleId="25">
    <w:name w:val="List Paragraph"/>
    <w:basedOn w:val="1"/>
    <w:qFormat/>
    <w:uiPriority w:val="0"/>
    <w:pPr>
      <w:ind w:firstLine="420" w:firstLineChars="200"/>
    </w:pPr>
    <w:rPr>
      <w:rFonts w:ascii="Calibri" w:hAnsi="Calibri" w:eastAsia="宋体"/>
      <w:sz w:val="21"/>
      <w:szCs w:val="22"/>
    </w:rPr>
  </w:style>
  <w:style w:type="paragraph" w:customStyle="1" w:styleId="26">
    <w:name w:val="xl244"/>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7">
    <w:name w:val="xl2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8">
    <w:name w:val="xl2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29">
    <w:name w:val="xl2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0">
    <w:name w:val="xl2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1">
    <w:name w:val="xl2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2">
    <w:name w:val="xl2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3">
    <w:name w:val="xl25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4">
    <w:name w:val="xl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5">
    <w:name w:val="xl2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6">
    <w:name w:val="xl2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7">
    <w:name w:val="xl2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xl243"/>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character" w:customStyle="1" w:styleId="40">
    <w:name w:val="页脚 Char1"/>
    <w:qFormat/>
    <w:locked/>
    <w:uiPriority w:val="99"/>
    <w:rPr>
      <w:rFonts w:ascii="Times New Roman" w:hAnsi="Times New Roman" w:eastAsia="方正仿宋简体" w:cs="Times New Roman"/>
      <w:sz w:val="18"/>
    </w:rPr>
  </w:style>
  <w:style w:type="character" w:customStyle="1" w:styleId="41">
    <w:name w:val="页眉 Char1"/>
    <w:qFormat/>
    <w:locked/>
    <w:uiPriority w:val="99"/>
    <w:rPr>
      <w:rFonts w:cs="Times New Roman"/>
      <w:sz w:val="18"/>
    </w:rPr>
  </w:style>
  <w:style w:type="character" w:customStyle="1" w:styleId="42">
    <w:name w:val="批注框文本 Char1"/>
    <w:semiHidden/>
    <w:qFormat/>
    <w:locked/>
    <w:uiPriority w:val="99"/>
    <w:rPr>
      <w:rFonts w:cs="Times New Roman"/>
      <w:sz w:val="18"/>
    </w:rPr>
  </w:style>
  <w:style w:type="character" w:customStyle="1" w:styleId="43">
    <w:name w:val="HTML 预设格式 Char"/>
    <w:link w:val="11"/>
    <w:qFormat/>
    <w:uiPriority w:val="99"/>
    <w:rPr>
      <w:rFonts w:ascii="宋体" w:hAnsi="宋体" w:cs="宋体"/>
      <w:sz w:val="24"/>
      <w:szCs w:val="24"/>
    </w:rPr>
  </w:style>
  <w:style w:type="paragraph" w:customStyle="1" w:styleId="44">
    <w:name w:val="列出段落1"/>
    <w:basedOn w:val="1"/>
    <w:qFormat/>
    <w:uiPriority w:val="0"/>
    <w:pPr>
      <w:ind w:firstLine="420" w:firstLineChars="200"/>
    </w:pPr>
    <w:rPr>
      <w:rFonts w:ascii="Calibri" w:hAnsi="Calibri" w:eastAsia="宋体" w:cs="黑体"/>
      <w:sz w:val="21"/>
      <w:szCs w:val="22"/>
    </w:rPr>
  </w:style>
  <w:style w:type="paragraph" w:customStyle="1" w:styleId="45">
    <w:name w:val="列出段落1 + 仿宋"/>
    <w:basedOn w:val="44"/>
    <w:qFormat/>
    <w:uiPriority w:val="99"/>
    <w:pPr>
      <w:spacing w:line="540" w:lineRule="exact"/>
      <w:ind w:firstLine="0" w:firstLineChars="0"/>
    </w:pPr>
    <w:rPr>
      <w:rFonts w:ascii="仿宋" w:hAnsi="仿宋" w:eastAsia="仿宋"/>
      <w:sz w:val="24"/>
      <w:szCs w:val="24"/>
    </w:rPr>
  </w:style>
  <w:style w:type="character" w:customStyle="1" w:styleId="46">
    <w:name w:val="font31"/>
    <w:qFormat/>
    <w:uiPriority w:val="0"/>
    <w:rPr>
      <w:rFonts w:hint="eastAsia" w:ascii="宋体" w:hAnsi="宋体" w:eastAsia="宋体" w:cs="宋体"/>
      <w:color w:val="000000"/>
      <w:sz w:val="22"/>
      <w:szCs w:val="22"/>
      <w:u w:val="none"/>
    </w:rPr>
  </w:style>
  <w:style w:type="character" w:customStyle="1" w:styleId="47">
    <w:name w:val="font41"/>
    <w:qFormat/>
    <w:uiPriority w:val="0"/>
    <w:rPr>
      <w:rFonts w:hint="eastAsia" w:ascii="宋体" w:hAnsi="宋体" w:eastAsia="宋体" w:cs="宋体"/>
      <w:color w:val="000000"/>
      <w:sz w:val="22"/>
      <w:szCs w:val="22"/>
      <w:u w:val="none"/>
      <w:vertAlign w:val="superscript"/>
    </w:rPr>
  </w:style>
  <w:style w:type="character" w:customStyle="1" w:styleId="48">
    <w:name w:val="font01"/>
    <w:qFormat/>
    <w:uiPriority w:val="0"/>
    <w:rPr>
      <w:rFonts w:hint="eastAsia" w:ascii="宋体" w:hAnsi="宋体" w:eastAsia="宋体" w:cs="宋体"/>
      <w:color w:val="000000"/>
      <w:sz w:val="18"/>
      <w:szCs w:val="18"/>
      <w:u w:val="none"/>
    </w:rPr>
  </w:style>
  <w:style w:type="character" w:customStyle="1" w:styleId="49">
    <w:name w:val="font61"/>
    <w:qFormat/>
    <w:uiPriority w:val="0"/>
    <w:rPr>
      <w:rFonts w:hint="eastAsia" w:ascii="宋体" w:hAnsi="宋体" w:eastAsia="宋体" w:cs="宋体"/>
      <w:color w:val="000000"/>
      <w:sz w:val="22"/>
      <w:szCs w:val="22"/>
      <w:u w:val="none"/>
    </w:rPr>
  </w:style>
  <w:style w:type="character" w:customStyle="1" w:styleId="50">
    <w:name w:val="明显强调1"/>
    <w:qFormat/>
    <w:uiPriority w:val="21"/>
    <w:rPr>
      <w:b/>
      <w:bCs/>
      <w:i/>
      <w:iCs/>
      <w:color w:val="4F81BD"/>
    </w:rPr>
  </w:style>
  <w:style w:type="paragraph" w:customStyle="1" w:styleId="51">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ascii="宋体" w:hAnsi="宋体" w:eastAsia="宋体" w:cs="宋体"/>
      <w:kern w:val="0"/>
      <w:sz w:val="22"/>
      <w:szCs w:val="22"/>
    </w:rPr>
  </w:style>
  <w:style w:type="paragraph" w:customStyle="1" w:styleId="58">
    <w:name w:val="font8"/>
    <w:basedOn w:val="1"/>
    <w:qFormat/>
    <w:uiPriority w:val="0"/>
    <w:pPr>
      <w:widowControl/>
      <w:spacing w:before="100" w:beforeAutospacing="1" w:after="100" w:afterAutospacing="1"/>
      <w:jc w:val="left"/>
    </w:pPr>
    <w:rPr>
      <w:rFonts w:ascii="Times New Roman" w:eastAsia="宋体"/>
      <w:kern w:val="0"/>
      <w:sz w:val="22"/>
      <w:szCs w:val="22"/>
    </w:rPr>
  </w:style>
  <w:style w:type="paragraph" w:customStyle="1" w:styleId="5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6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center"/>
    </w:pPr>
    <w:rPr>
      <w:rFonts w:ascii="宋体" w:hAnsi="宋体" w:eastAsia="宋体" w:cs="宋体"/>
      <w:kern w:val="0"/>
      <w:sz w:val="24"/>
      <w:szCs w:val="24"/>
    </w:rPr>
  </w:style>
  <w:style w:type="paragraph" w:customStyle="1" w:styleId="6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character" w:customStyle="1" w:styleId="70">
    <w:name w:val="标题 9 Char"/>
    <w:basedOn w:val="15"/>
    <w:link w:val="3"/>
    <w:qFormat/>
    <w:uiPriority w:val="0"/>
    <w:rPr>
      <w:rFonts w:ascii="Arial" w:hAnsi="Arial" w:eastAsia="黑体"/>
      <w:sz w:val="21"/>
    </w:rPr>
  </w:style>
  <w:style w:type="character" w:customStyle="1" w:styleId="71">
    <w:name w:val="15"/>
    <w:qFormat/>
    <w:uiPriority w:val="0"/>
    <w:rPr>
      <w:rFonts w:ascii="Times New Roman" w:hAnsi="Times New Roman"/>
      <w:sz w:val="20"/>
    </w:rPr>
  </w:style>
  <w:style w:type="character" w:customStyle="1" w:styleId="72">
    <w:name w:val="宏文本 Char"/>
    <w:link w:val="2"/>
    <w:qFormat/>
    <w:locked/>
    <w:uiPriority w:val="0"/>
    <w:rPr>
      <w:rFonts w:ascii="Courier New" w:hAnsi="Courier New" w:eastAsia="Times New Roman"/>
      <w:kern w:val="2"/>
      <w:sz w:val="24"/>
    </w:rPr>
  </w:style>
  <w:style w:type="character" w:customStyle="1" w:styleId="73">
    <w:name w:val="宏文本 Char1"/>
    <w:basedOn w:val="15"/>
    <w:qFormat/>
    <w:uiPriority w:val="0"/>
    <w:rPr>
      <w:rFonts w:ascii="Courier New" w:hAnsi="Courier New" w:cs="Courier New"/>
      <w:kern w:val="2"/>
      <w:sz w:val="24"/>
      <w:szCs w:val="24"/>
    </w:rPr>
  </w:style>
  <w:style w:type="character" w:customStyle="1" w:styleId="74">
    <w:name w:val="列表 5 Char"/>
    <w:link w:val="10"/>
    <w:qFormat/>
    <w:locked/>
    <w:uiPriority w:val="0"/>
    <w:rPr>
      <w:kern w:val="2"/>
      <w:sz w:val="21"/>
      <w:szCs w:val="24"/>
    </w:rPr>
  </w:style>
  <w:style w:type="character" w:customStyle="1" w:styleId="75">
    <w:name w:val="文本块 Char"/>
    <w:link w:val="4"/>
    <w:qFormat/>
    <w:locked/>
    <w:uiPriority w:val="0"/>
    <w:rPr>
      <w:kern w:val="2"/>
      <w:sz w:val="21"/>
      <w:szCs w:val="24"/>
    </w:rPr>
  </w:style>
  <w:style w:type="paragraph" w:customStyle="1" w:styleId="76">
    <w:name w:val="p0"/>
    <w:basedOn w:val="1"/>
    <w:qFormat/>
    <w:uiPriority w:val="0"/>
    <w:pPr>
      <w:widowControl/>
    </w:pPr>
    <w:rPr>
      <w:rFonts w:ascii="Times New Roman" w:eastAsia="宋体"/>
      <w:kern w:val="0"/>
      <w:sz w:val="21"/>
      <w:szCs w:val="21"/>
    </w:rPr>
  </w:style>
  <w:style w:type="character" w:customStyle="1" w:styleId="77">
    <w:name w:val="纯文本 Char"/>
    <w:basedOn w:val="15"/>
    <w:link w:val="5"/>
    <w:qFormat/>
    <w:uiPriority w:val="0"/>
    <w:rPr>
      <w:rFonts w:ascii="宋体" w:hAnsi="宋体" w:cs="Courier New"/>
      <w:kern w:val="1"/>
      <w:sz w:val="24"/>
      <w:szCs w:val="21"/>
      <w:lang w:val="zh-CN" w:eastAsia="hi-IN" w:bidi="hi-IN"/>
    </w:rPr>
  </w:style>
  <w:style w:type="paragraph" w:customStyle="1" w:styleId="78">
    <w:name w:val="列出段落2"/>
    <w:basedOn w:val="1"/>
    <w:qFormat/>
    <w:uiPriority w:val="0"/>
    <w:pPr>
      <w:ind w:firstLine="420" w:firstLineChars="200"/>
    </w:pPr>
    <w:rPr>
      <w:rFonts w:ascii="Times New Roman" w:eastAsia="宋体"/>
      <w:sz w:val="21"/>
    </w:rPr>
  </w:style>
  <w:style w:type="paragraph" w:customStyle="1" w:styleId="79">
    <w:name w:val="正文2"/>
    <w:basedOn w:val="1"/>
    <w:qFormat/>
    <w:uiPriority w:val="0"/>
    <w:pPr>
      <w:widowControl/>
      <w:ind w:firstLine="567"/>
      <w:jc w:val="left"/>
    </w:pPr>
    <w:rPr>
      <w:rFonts w:ascii="楷体_GB2312" w:eastAsia="楷体_GB2312"/>
      <w:kern w:val="0"/>
      <w:sz w:val="28"/>
    </w:rPr>
  </w:style>
  <w:style w:type="paragraph" w:customStyle="1" w:styleId="80">
    <w:name w:val="1样式1"/>
    <w:basedOn w:val="1"/>
    <w:qFormat/>
    <w:uiPriority w:val="0"/>
    <w:rPr>
      <w:rFonts w:ascii="Times New Roman" w:eastAsia="宋体"/>
      <w:sz w:val="21"/>
      <w:szCs w:val="24"/>
    </w:rPr>
  </w:style>
  <w:style w:type="paragraph" w:customStyle="1" w:styleId="81">
    <w:name w:val="一级条标题"/>
    <w:next w:val="82"/>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8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3">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84">
    <w:name w:val="Char Char2"/>
    <w:qFormat/>
    <w:uiPriority w:val="0"/>
    <w:rPr>
      <w:rFonts w:eastAsia="宋体"/>
      <w:kern w:val="2"/>
      <w:sz w:val="21"/>
      <w:szCs w:val="24"/>
      <w:lang w:val="en-US" w:eastAsia="zh-CN" w:bidi="ar-SA"/>
    </w:rPr>
  </w:style>
  <w:style w:type="character" w:customStyle="1" w:styleId="85">
    <w:name w:val="Char Char3"/>
    <w:qFormat/>
    <w:uiPriority w:val="0"/>
    <w:rPr>
      <w:rFonts w:eastAsia="宋体"/>
      <w:kern w:val="2"/>
      <w:sz w:val="21"/>
      <w:szCs w:val="24"/>
      <w:lang w:val="en-US" w:eastAsia="zh-CN" w:bidi="ar-SA"/>
    </w:rPr>
  </w:style>
  <w:style w:type="character" w:customStyle="1" w:styleId="86">
    <w:name w:val="Char Char1"/>
    <w:qFormat/>
    <w:uiPriority w:val="0"/>
    <w:rPr>
      <w:rFonts w:ascii="Courier New" w:hAnsi="Courier New"/>
      <w:kern w:val="2"/>
      <w:sz w:val="24"/>
      <w:lang w:val="en-US" w:eastAsia="zh-CN" w:bidi="ar-SA"/>
    </w:rPr>
  </w:style>
  <w:style w:type="character" w:customStyle="1" w:styleId="87">
    <w:name w:val="Char Char4"/>
    <w:qFormat/>
    <w:uiPriority w:val="0"/>
    <w:rPr>
      <w:rFonts w:ascii="Arial" w:hAnsi="Arial" w:eastAsia="黑体"/>
      <w:sz w:val="21"/>
      <w:lang w:val="zh-CN" w:eastAsia="zh-CN" w:bidi="ar-SA"/>
    </w:rPr>
  </w:style>
  <w:style w:type="character" w:customStyle="1" w:styleId="88">
    <w:name w:val="Char Char21"/>
    <w:qFormat/>
    <w:uiPriority w:val="0"/>
    <w:rPr>
      <w:rFonts w:eastAsia="宋体"/>
      <w:kern w:val="2"/>
      <w:sz w:val="21"/>
      <w:szCs w:val="24"/>
      <w:lang w:val="en-US" w:eastAsia="zh-CN" w:bidi="ar-SA"/>
    </w:rPr>
  </w:style>
  <w:style w:type="character" w:customStyle="1" w:styleId="89">
    <w:name w:val="Char Char31"/>
    <w:qFormat/>
    <w:uiPriority w:val="0"/>
    <w:rPr>
      <w:rFonts w:eastAsia="宋体"/>
      <w:kern w:val="2"/>
      <w:sz w:val="21"/>
      <w:szCs w:val="24"/>
      <w:lang w:val="en-US" w:eastAsia="zh-CN" w:bidi="ar-SA"/>
    </w:rPr>
  </w:style>
  <w:style w:type="character" w:customStyle="1" w:styleId="90">
    <w:name w:val="Char Char11"/>
    <w:qFormat/>
    <w:uiPriority w:val="0"/>
    <w:rPr>
      <w:rFonts w:ascii="Courier New" w:hAnsi="Courier New"/>
      <w:kern w:val="2"/>
      <w:sz w:val="24"/>
      <w:lang w:val="en-US" w:eastAsia="zh-CN" w:bidi="ar-SA"/>
    </w:rPr>
  </w:style>
  <w:style w:type="character" w:customStyle="1" w:styleId="91">
    <w:name w:val="Char Char41"/>
    <w:qFormat/>
    <w:uiPriority w:val="0"/>
    <w:rPr>
      <w:rFonts w:ascii="Arial" w:hAnsi="Arial" w:eastAsia="黑体"/>
      <w:sz w:val="21"/>
      <w:lang w:bidi="ar-SA"/>
    </w:rPr>
  </w:style>
  <w:style w:type="character" w:customStyle="1" w:styleId="92">
    <w:name w:val="font21"/>
    <w:basedOn w:val="15"/>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780D8-2CCC-4939-9454-E40854515A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1100</Words>
  <Characters>6273</Characters>
  <Lines>52</Lines>
  <Paragraphs>14</Paragraphs>
  <TotalTime>37</TotalTime>
  <ScaleCrop>false</ScaleCrop>
  <LinksUpToDate>false</LinksUpToDate>
  <CharactersWithSpaces>7359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2021-07-08T08:20:00Z</dcterms:created>
  <dc:creator>li_yoo</dc:creator>
  <cp:lastModifiedBy>86181</cp:lastModifiedBy>
  <cp:lastPrinted>2021-07-19T09:17:00Z</cp:lastPrinted>
  <dcterms:modified xsi:type="dcterms:W3CDTF">2022-10-12T08:29:09Z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0864F6CF5C654E2B8ABB9603DFD36DAA</vt:lpwstr>
  </property>
</Properties>
</file>