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right"/>
        <w:textAlignment w:val="auto"/>
        <w:rPr>
          <w:rFonts w:hint="eastAsia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  <w:t>标准号：</w:t>
      </w:r>
      <w:r>
        <w:rPr>
          <w:rFonts w:hint="default" w:ascii="Times New Roman" w:hAnsi="Times New Roman" w:cs="Times New Roman" w:eastAsiaTheme="minorEastAsia"/>
          <w:sz w:val="32"/>
          <w:szCs w:val="32"/>
          <w:highlight w:val="none"/>
        </w:rPr>
        <w:t>20</w:t>
      </w:r>
      <w:r>
        <w:rPr>
          <w:rFonts w:hint="eastAsia" w:ascii="Times New Roman" w:hAnsi="Times New Roman" w:cs="Times New Roman" w:eastAsiaTheme="minorEastAsia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cs="Times New Roman" w:eastAsiaTheme="minorEastAsia"/>
          <w:sz w:val="32"/>
          <w:szCs w:val="32"/>
          <w:highlight w:val="none"/>
        </w:rPr>
        <w:t>YC-000</w:t>
      </w:r>
      <w:r>
        <w:rPr>
          <w:rFonts w:hint="eastAsia" w:cs="Times New Roman" w:eastAsiaTheme="minorEastAsia"/>
          <w:sz w:val="32"/>
          <w:szCs w:val="32"/>
          <w:highlight w:val="none"/>
          <w:lang w:val="en-US" w:eastAsia="zh-CN"/>
        </w:rPr>
        <w:t>8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</w:rPr>
        <w:t xml:space="preserve"> </w:t>
      </w:r>
      <w:bookmarkStart w:id="0" w:name="_Hlk148540896"/>
      <w:r>
        <w:rPr>
          <w:rFonts w:hint="eastAsia" w:ascii="黑体" w:hAnsi="黑体" w:eastAsia="黑体" w:cs="黑体"/>
          <w:b/>
          <w:bCs w:val="0"/>
          <w:sz w:val="32"/>
          <w:szCs w:val="32"/>
        </w:rPr>
        <w:t>欧神香草</w:t>
      </w:r>
    </w:p>
    <w:bookmarkEnd w:id="0"/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Oushenxiangcao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35" w:afterLines="75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HYSSOPI OFFICINALIS HERBA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</w:rPr>
        <w:pPrChange w:id="0" w:author="刘雪婧" w:date="2024-07-26T16:32:27Z">
          <w:pPr>
            <w:spacing w:line="480" w:lineRule="exact"/>
            <w:ind w:firstLine="480" w:firstLineChars="200"/>
          </w:pPr>
        </w:pPrChange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本品为唇形科植物欧神香草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4"/>
        </w:rPr>
        <w:t>Hyssopus officinalis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 xml:space="preserve"> L.的干燥地上部分，夏秋两季花期采割，除去杂质，晒干或切段晒干。</w:t>
      </w:r>
    </w:p>
    <w:p>
      <w:pPr>
        <w:pStyle w:val="4"/>
        <w:spacing w:line="500" w:lineRule="exact"/>
        <w:ind w:firstLine="481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1" w:author="刘雪婧" w:date="2024-07-26T16:32:27Z">
          <w:pPr>
            <w:pStyle w:val="4"/>
            <w:spacing w:line="360" w:lineRule="auto"/>
            <w:ind w:firstLine="481" w:firstLineChars="200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【性状】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本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品茎钝四棱形，具条纹，被短柔毛。叶线状披针形，长1～4cm，宽2～7mm，先端钝，基部渐狭至楔形，无柄，两面无毛，具腺点。花萼管状黄绿色，连齿长约7.5mm；花冠多皱缩，蓝紫色，长约1cm；雄蕊及花柱长出花冠。气芳香，味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zh-CN" w:eastAsia="zh-CN" w:bidi="ar-SA"/>
        </w:rPr>
        <w:t>辛苦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spacing w:line="500" w:lineRule="exact"/>
        <w:ind w:firstLine="481" w:firstLineChars="200"/>
        <w:jc w:val="left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2" w:author="刘雪婧" w:date="2024-07-26T16:32:27Z">
          <w:pPr>
            <w:spacing w:line="360" w:lineRule="auto"/>
            <w:ind w:firstLine="481" w:firstLineChars="200"/>
            <w:jc w:val="left"/>
          </w:pPr>
        </w:pPrChange>
      </w:pPr>
      <w:r>
        <w:rPr>
          <w:rFonts w:hint="eastAsia" w:ascii="Times New Roman" w:hAnsi="Times New Roman" w:cs="Times New Roman" w:eastAsiaTheme="minorEastAsia"/>
          <w:b/>
          <w:bCs/>
          <w:kern w:val="2"/>
          <w:sz w:val="24"/>
          <w:szCs w:val="24"/>
          <w:highlight w:val="none"/>
          <w:lang w:val="en-US" w:eastAsia="zh-CN" w:bidi="ar-SA"/>
          <w:rPrChange w:id="3" w:author="刘雪婧" w:date="2024-07-26T16:23:49Z">
            <w:rPr>
              <w:rFonts w:hint="eastAsia" w:ascii="Times New Roman" w:hAnsi="Times New Roman" w:cs="Times New Roman" w:eastAsiaTheme="minorEastAsia"/>
              <w:kern w:val="2"/>
              <w:sz w:val="24"/>
              <w:szCs w:val="24"/>
              <w:highlight w:val="none"/>
              <w:lang w:val="en-US" w:eastAsia="zh-CN" w:bidi="ar-SA"/>
            </w:rPr>
          </w:rPrChange>
        </w:rPr>
        <w:t>【鉴别】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（1）本品粉末黄绿色。非腺毛多破碎，完整者为1～3个细胞组成，表面具疣状突起。腺鳞类圆形，直径20～100μm。气孔直轴式。螺纹导管多见。纤维具孔，直径约10μm。花粉粒偶见，类圆形或椭圆形，直径20～40μm，有6个萌发孔。</w:t>
      </w:r>
    </w:p>
    <w:p>
      <w:pPr>
        <w:spacing w:line="500" w:lineRule="exact"/>
        <w:ind w:firstLine="480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4" w:author="刘雪婧" w:date="2024-07-26T16:32:27Z">
          <w:pPr>
            <w:spacing w:line="480" w:lineRule="exact"/>
            <w:ind w:firstLine="480" w:firstLineChars="200"/>
          </w:pPr>
        </w:pPrChange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（2）取本品粉末1g，加甲醇15ml，超声处理15分钟，滤过，作为供试品溶液。另取欧神香草对照药材1g，同法制成对照药材溶液。再取迷迭香酸对照品，加甲醇制成每1ml含0.5mg的溶液，作为对照品溶液。照薄层色谱法试验（《中国药典》2020年版四部通则0502），吸取供试品溶液和对照药材溶液各5µl、对照品溶液3μl，分别点于同一硅胶G薄层板上，以二氯甲烷-乙酸乙酯-甲酸（5：2：1）为展开剂，展开，取出，晾干。置紫外光灯(365nm)下检视。供试品色谱中，在与对照药材色谱和对照品色谱相应的位置上，显相同颜色的荧光斑点。</w:t>
      </w:r>
    </w:p>
    <w:p>
      <w:pPr>
        <w:spacing w:line="500" w:lineRule="exact"/>
        <w:ind w:firstLine="481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5" w:author="刘雪婧" w:date="2024-07-26T16:32:27Z">
          <w:pPr>
            <w:spacing w:line="360" w:lineRule="auto"/>
            <w:ind w:firstLine="481" w:firstLineChars="200"/>
          </w:pPr>
        </w:pPrChange>
      </w:pPr>
      <w:r>
        <w:rPr>
          <w:rFonts w:hint="eastAsia" w:ascii="Times New Roman" w:hAnsi="Times New Roman" w:cs="Times New Roman" w:eastAsiaTheme="minorEastAsia"/>
          <w:b/>
          <w:bCs/>
          <w:kern w:val="2"/>
          <w:sz w:val="24"/>
          <w:szCs w:val="24"/>
          <w:highlight w:val="none"/>
          <w:lang w:val="en-US" w:eastAsia="zh-CN" w:bidi="ar-SA"/>
          <w:rPrChange w:id="6" w:author="刘雪婧" w:date="2024-07-26T16:23:55Z">
            <w:rPr>
              <w:rFonts w:hint="eastAsia" w:ascii="Times New Roman" w:hAnsi="Times New Roman" w:cs="Times New Roman" w:eastAsiaTheme="minorEastAsia"/>
              <w:kern w:val="2"/>
              <w:sz w:val="24"/>
              <w:szCs w:val="24"/>
              <w:highlight w:val="none"/>
              <w:lang w:val="en-US" w:eastAsia="zh-CN" w:bidi="ar-SA"/>
            </w:rPr>
          </w:rPrChange>
        </w:rPr>
        <w:t>【检查】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水分  不得过11.0%（《中国药典》2020年版四部通则0832第二法）。</w:t>
      </w:r>
    </w:p>
    <w:p>
      <w:pPr>
        <w:spacing w:line="500" w:lineRule="exact"/>
        <w:ind w:firstLine="480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7" w:author="刘雪婧" w:date="2024-07-26T16:32:27Z">
          <w:pPr>
            <w:spacing w:line="360" w:lineRule="auto"/>
            <w:ind w:firstLine="480" w:firstLineChars="200"/>
          </w:pPr>
        </w:pPrChange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总灰分  不得过15.0%（《中国药典》2020年版四部通则2302）。</w:t>
      </w:r>
    </w:p>
    <w:p>
      <w:pPr>
        <w:spacing w:line="500" w:lineRule="exact"/>
        <w:ind w:firstLine="480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8" w:author="刘雪婧" w:date="2024-07-26T16:32:27Z">
          <w:pPr>
            <w:spacing w:line="360" w:lineRule="auto"/>
            <w:ind w:firstLine="480" w:firstLineChars="200"/>
          </w:pPr>
        </w:pPrChange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酸不溶性灰分  不得过5.0%（《中国药典》2020年版四部通则2302）。</w:t>
      </w:r>
    </w:p>
    <w:p>
      <w:pPr>
        <w:spacing w:line="500" w:lineRule="exact"/>
        <w:ind w:firstLine="481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9" w:author="刘雪婧" w:date="2024-07-26T16:32:27Z">
          <w:pPr>
            <w:spacing w:line="360" w:lineRule="auto"/>
            <w:ind w:firstLine="481" w:firstLineChars="200"/>
          </w:pPr>
        </w:pPrChange>
      </w:pPr>
      <w:r>
        <w:rPr>
          <w:rFonts w:hint="eastAsia" w:ascii="Times New Roman" w:hAnsi="Times New Roman" w:cs="Times New Roman" w:eastAsiaTheme="minorEastAsia"/>
          <w:b/>
          <w:bCs/>
          <w:kern w:val="2"/>
          <w:sz w:val="24"/>
          <w:szCs w:val="24"/>
          <w:highlight w:val="none"/>
          <w:lang w:val="en-US" w:eastAsia="zh-CN" w:bidi="ar-SA"/>
          <w:rPrChange w:id="10" w:author="刘雪婧" w:date="2024-07-26T16:24:00Z">
            <w:rPr>
              <w:rFonts w:hint="eastAsia" w:ascii="Times New Roman" w:hAnsi="Times New Roman" w:cs="Times New Roman" w:eastAsiaTheme="minorEastAsia"/>
              <w:kern w:val="2"/>
              <w:sz w:val="24"/>
              <w:szCs w:val="24"/>
              <w:highlight w:val="none"/>
              <w:lang w:val="en-US" w:eastAsia="zh-CN" w:bidi="ar-SA"/>
            </w:rPr>
          </w:rPrChange>
        </w:rPr>
        <w:t>【浸出物】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照水溶性浸出物测定法(《中国药典》2020年版四部通则2201)项下的热浸法测定，不得少于30.0%。</w:t>
      </w:r>
    </w:p>
    <w:p>
      <w:pPr>
        <w:spacing w:line="500" w:lineRule="exact"/>
        <w:ind w:firstLine="481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11" w:author="刘雪婧" w:date="2024-07-26T16:32:27Z">
          <w:pPr>
            <w:spacing w:line="360" w:lineRule="auto"/>
            <w:ind w:firstLine="481" w:firstLineChars="200"/>
          </w:pPr>
        </w:pPrChange>
      </w:pPr>
      <w:r>
        <w:rPr>
          <w:rFonts w:hint="eastAsia" w:ascii="Times New Roman" w:hAnsi="Times New Roman" w:cs="Times New Roman" w:eastAsiaTheme="minorEastAsia"/>
          <w:b/>
          <w:bCs/>
          <w:kern w:val="2"/>
          <w:sz w:val="24"/>
          <w:szCs w:val="24"/>
          <w:highlight w:val="none"/>
          <w:lang w:val="en-US" w:eastAsia="zh-CN" w:bidi="ar-SA"/>
          <w:rPrChange w:id="12" w:author="刘雪婧" w:date="2024-07-26T16:24:03Z">
            <w:rPr>
              <w:rFonts w:hint="eastAsia" w:ascii="Times New Roman" w:hAnsi="Times New Roman" w:cs="Times New Roman" w:eastAsiaTheme="minorEastAsia"/>
              <w:kern w:val="2"/>
              <w:sz w:val="24"/>
              <w:szCs w:val="24"/>
              <w:highlight w:val="none"/>
              <w:lang w:val="en-US" w:eastAsia="zh-CN" w:bidi="ar-SA"/>
            </w:rPr>
          </w:rPrChange>
        </w:rPr>
        <w:t>【性味与归经】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zh-CN" w:eastAsia="zh-CN" w:bidi="ar-SA"/>
        </w:rPr>
        <w:t>二级干热，气芳香，味辛苦。</w:t>
      </w:r>
    </w:p>
    <w:p>
      <w:pPr>
        <w:spacing w:line="500" w:lineRule="exact"/>
        <w:ind w:firstLine="481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13" w:author="刘雪婧" w:date="2024-07-26T16:32:27Z">
          <w:pPr>
            <w:spacing w:line="360" w:lineRule="auto"/>
            <w:ind w:firstLine="481" w:firstLineChars="200"/>
          </w:pPr>
        </w:pPrChange>
      </w:pPr>
      <w:r>
        <w:rPr>
          <w:rFonts w:hint="eastAsia" w:ascii="Times New Roman" w:hAnsi="Times New Roman" w:cs="Times New Roman" w:eastAsiaTheme="minorEastAsia"/>
          <w:b/>
          <w:bCs/>
          <w:kern w:val="2"/>
          <w:sz w:val="24"/>
          <w:szCs w:val="24"/>
          <w:highlight w:val="none"/>
          <w:lang w:val="en-US" w:eastAsia="zh-CN" w:bidi="ar-SA"/>
          <w:rPrChange w:id="14" w:author="刘雪婧" w:date="2024-07-26T16:24:06Z">
            <w:rPr>
              <w:rFonts w:hint="eastAsia" w:ascii="Times New Roman" w:hAnsi="Times New Roman" w:cs="Times New Roman" w:eastAsiaTheme="minorEastAsia"/>
              <w:kern w:val="2"/>
              <w:sz w:val="24"/>
              <w:szCs w:val="24"/>
              <w:highlight w:val="none"/>
              <w:lang w:val="en-US" w:eastAsia="zh-CN" w:bidi="ar-SA"/>
            </w:rPr>
          </w:rPrChange>
        </w:rPr>
        <w:t>【功能与主治】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生干生热，温肺平喘，祛寒止咳，燥湿祛痰，发汗解毒，消炎退肿。主治湿寒性和黏液质性呼吸器官疾病，如寒性哮喘、咳嗽感冒，湿性痰多，乃孜来毒液流窜胸肺，胸膜炎、气管炎、肺炎及水肿。</w:t>
      </w:r>
    </w:p>
    <w:p>
      <w:pPr>
        <w:spacing w:line="500" w:lineRule="exact"/>
        <w:ind w:firstLine="481" w:firstLineChars="200"/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pPrChange w:id="15" w:author="刘雪婧" w:date="2024-07-26T16:32:27Z">
          <w:pPr>
            <w:spacing w:line="360" w:lineRule="auto"/>
            <w:ind w:firstLine="481" w:firstLineChars="200"/>
          </w:pPr>
        </w:pPrChange>
      </w:pPr>
      <w:r>
        <w:rPr>
          <w:rFonts w:hint="eastAsia" w:ascii="Times New Roman" w:hAnsi="Times New Roman" w:cs="Times New Roman" w:eastAsiaTheme="minorEastAsia"/>
          <w:b/>
          <w:bCs/>
          <w:kern w:val="2"/>
          <w:sz w:val="24"/>
          <w:szCs w:val="24"/>
          <w:highlight w:val="none"/>
          <w:lang w:val="en-US" w:eastAsia="zh-CN" w:bidi="ar-SA"/>
          <w:rPrChange w:id="16" w:author="刘雪婧" w:date="2024-07-26T16:24:10Z">
            <w:rPr>
              <w:rFonts w:hint="eastAsia" w:ascii="Times New Roman" w:hAnsi="Times New Roman" w:cs="Times New Roman" w:eastAsiaTheme="minorEastAsia"/>
              <w:kern w:val="2"/>
              <w:sz w:val="24"/>
              <w:szCs w:val="24"/>
              <w:highlight w:val="none"/>
              <w:lang w:val="en-US" w:eastAsia="zh-CN" w:bidi="ar-SA"/>
            </w:rPr>
          </w:rPrChange>
        </w:rPr>
        <w:t>【用法与用量】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3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zh-CN" w:eastAsia="zh-CN" w:bidi="ar-SA"/>
        </w:rPr>
        <w:t>～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6g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zh-CN" w:eastAsia="zh-CN" w:bidi="ar-SA"/>
        </w:rPr>
        <w:t>。外用适量。</w:t>
      </w:r>
    </w:p>
    <w:p>
      <w:pPr>
        <w:spacing w:line="500" w:lineRule="exact"/>
        <w:ind w:firstLine="481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Cs w:val="28"/>
        </w:rPr>
        <w:pPrChange w:id="17" w:author="刘雪婧" w:date="2024-07-26T16:32:27Z">
          <w:pPr>
            <w:spacing w:line="360" w:lineRule="auto"/>
            <w:ind w:firstLine="481" w:firstLineChars="200"/>
          </w:pPr>
        </w:pPrChange>
      </w:pPr>
      <w:r>
        <w:rPr>
          <w:rFonts w:hint="eastAsia" w:ascii="Times New Roman" w:hAnsi="Times New Roman" w:cs="Times New Roman" w:eastAsiaTheme="minorEastAsia"/>
          <w:b/>
          <w:bCs/>
          <w:kern w:val="2"/>
          <w:sz w:val="24"/>
          <w:szCs w:val="24"/>
          <w:highlight w:val="none"/>
          <w:lang w:val="en-US" w:eastAsia="zh-CN" w:bidi="ar-SA"/>
          <w:rPrChange w:id="18" w:author="刘雪婧" w:date="2024-07-26T16:24:13Z">
            <w:rPr>
              <w:rFonts w:hint="eastAsia" w:ascii="Times New Roman" w:hAnsi="Times New Roman" w:cs="Times New Roman" w:eastAsiaTheme="minorEastAsia"/>
              <w:kern w:val="2"/>
              <w:sz w:val="24"/>
              <w:szCs w:val="24"/>
              <w:highlight w:val="none"/>
              <w:lang w:val="en-US" w:eastAsia="zh-CN" w:bidi="ar-SA"/>
            </w:rPr>
          </w:rPrChange>
        </w:rPr>
        <w:t>【贮藏】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置阴凉干燥处，防霉，防蛀。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/>
        <w:textAlignment w:val="auto"/>
        <w:rPr>
          <w:rFonts w:hint="default" w:ascii="Times New Roman" w:hAnsi="Times New Roman" w:cs="Times New Roman" w:eastAsiaTheme="minorEastAsia"/>
          <w:color w:val="000000"/>
          <w:kern w:val="2"/>
          <w:sz w:val="24"/>
          <w:szCs w:val="24"/>
          <w:highlight w:val="none"/>
          <w:lang w:val="en-US" w:eastAsia="zh-CN" w:bidi="ar-SA"/>
        </w:rPr>
      </w:pPr>
      <w:bookmarkStart w:id="1" w:name="_GoBack"/>
      <w:bookmarkEnd w:id="1"/>
    </w:p>
    <w:p/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outlineLvl w:val="0"/>
        <w:rPr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b/>
          <w:color w:val="000000"/>
          <w:sz w:val="24"/>
        </w:rPr>
      </w:pPr>
    </w:p>
    <w:p>
      <w:pPr>
        <w:adjustRightInd w:val="0"/>
        <w:snapToGrid w:val="0"/>
        <w:spacing w:line="324" w:lineRule="auto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418" w:left="147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rPr>
        <w:rFonts w:hint="eastAsia"/>
        <w:sz w:val="21"/>
        <w:szCs w:val="21"/>
        <w:lang w:val="en-US" w:eastAsia="zh-CN"/>
      </w:rPr>
    </w:pPr>
  </w:p>
  <w:p>
    <w:pPr>
      <w:pStyle w:val="5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新疆维吾尔自治区药品检验研究院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</w:rPr>
      <w:t>起草</w:t>
    </w:r>
  </w:p>
  <w:p>
    <w:pPr>
      <w:pStyle w:val="5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河北省药品医疗器械检验研究院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>审核   新疆维吾尔自治区药品监督管理局      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雪婧">
    <w15:presenceInfo w15:providerId="None" w15:userId="刘雪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000A3663"/>
    <w:rsid w:val="000340FC"/>
    <w:rsid w:val="00035BF6"/>
    <w:rsid w:val="00073D9D"/>
    <w:rsid w:val="000A3663"/>
    <w:rsid w:val="000D1A03"/>
    <w:rsid w:val="00131428"/>
    <w:rsid w:val="00184C70"/>
    <w:rsid w:val="00195025"/>
    <w:rsid w:val="00210293"/>
    <w:rsid w:val="00215291"/>
    <w:rsid w:val="00243230"/>
    <w:rsid w:val="0026376F"/>
    <w:rsid w:val="002877FA"/>
    <w:rsid w:val="002D0157"/>
    <w:rsid w:val="002F5FF0"/>
    <w:rsid w:val="003045ED"/>
    <w:rsid w:val="00313E38"/>
    <w:rsid w:val="00335E3B"/>
    <w:rsid w:val="00354D90"/>
    <w:rsid w:val="003A388D"/>
    <w:rsid w:val="004064A9"/>
    <w:rsid w:val="00434874"/>
    <w:rsid w:val="004B265F"/>
    <w:rsid w:val="004C1DB7"/>
    <w:rsid w:val="004C1EAC"/>
    <w:rsid w:val="004C2EF0"/>
    <w:rsid w:val="00501DDC"/>
    <w:rsid w:val="00546E89"/>
    <w:rsid w:val="005B034B"/>
    <w:rsid w:val="005B4CE1"/>
    <w:rsid w:val="005B6AB3"/>
    <w:rsid w:val="005D216B"/>
    <w:rsid w:val="005D2534"/>
    <w:rsid w:val="005E68C1"/>
    <w:rsid w:val="006251EE"/>
    <w:rsid w:val="006511AF"/>
    <w:rsid w:val="00655DB9"/>
    <w:rsid w:val="0067212E"/>
    <w:rsid w:val="006D6246"/>
    <w:rsid w:val="006F3BC4"/>
    <w:rsid w:val="00731132"/>
    <w:rsid w:val="008120B4"/>
    <w:rsid w:val="00821DF0"/>
    <w:rsid w:val="00833890"/>
    <w:rsid w:val="00835C4F"/>
    <w:rsid w:val="00854154"/>
    <w:rsid w:val="008C6800"/>
    <w:rsid w:val="00920966"/>
    <w:rsid w:val="00961B94"/>
    <w:rsid w:val="00977F5E"/>
    <w:rsid w:val="00983938"/>
    <w:rsid w:val="00992813"/>
    <w:rsid w:val="009F66F5"/>
    <w:rsid w:val="009F796C"/>
    <w:rsid w:val="00A01340"/>
    <w:rsid w:val="00A12BE9"/>
    <w:rsid w:val="00A41FD2"/>
    <w:rsid w:val="00A57153"/>
    <w:rsid w:val="00A82294"/>
    <w:rsid w:val="00A9403A"/>
    <w:rsid w:val="00B13A6A"/>
    <w:rsid w:val="00B47012"/>
    <w:rsid w:val="00C14077"/>
    <w:rsid w:val="00C531AA"/>
    <w:rsid w:val="00C942C8"/>
    <w:rsid w:val="00CD5763"/>
    <w:rsid w:val="00CF1E5F"/>
    <w:rsid w:val="00DA0EBB"/>
    <w:rsid w:val="00DC1D37"/>
    <w:rsid w:val="00DC4E5D"/>
    <w:rsid w:val="00DC7994"/>
    <w:rsid w:val="00DD2E61"/>
    <w:rsid w:val="00DF26A1"/>
    <w:rsid w:val="00E2758B"/>
    <w:rsid w:val="00F661D3"/>
    <w:rsid w:val="00FC35ED"/>
    <w:rsid w:val="00FC51B1"/>
    <w:rsid w:val="00FE0F42"/>
    <w:rsid w:val="00FF5492"/>
    <w:rsid w:val="0C756C7F"/>
    <w:rsid w:val="17DF0FF5"/>
    <w:rsid w:val="1AFC2F3E"/>
    <w:rsid w:val="1F637F87"/>
    <w:rsid w:val="24EA2059"/>
    <w:rsid w:val="35D2724E"/>
    <w:rsid w:val="36355906"/>
    <w:rsid w:val="3BB217F3"/>
    <w:rsid w:val="40B46FF2"/>
    <w:rsid w:val="4D9D3E1A"/>
    <w:rsid w:val="4FFBA11F"/>
    <w:rsid w:val="546A778A"/>
    <w:rsid w:val="55693F94"/>
    <w:rsid w:val="5EC75D93"/>
    <w:rsid w:val="6CF82973"/>
    <w:rsid w:val="6FEDE415"/>
    <w:rsid w:val="725364AA"/>
    <w:rsid w:val="75B9A081"/>
    <w:rsid w:val="76C33644"/>
    <w:rsid w:val="EB7BCF0F"/>
    <w:rsid w:val="F589DA77"/>
    <w:rsid w:val="FBEB8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480" w:lineRule="exact"/>
      <w:ind w:firstLine="560" w:firstLineChars="200"/>
    </w:pPr>
    <w:rPr>
      <w:sz w:val="28"/>
      <w:szCs w:val="20"/>
    </w:rPr>
  </w:style>
  <w:style w:type="paragraph" w:styleId="3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ourier New" w:eastAsia="宋体" w:cs="Times New Roman"/>
      <w:kern w:val="2"/>
      <w:sz w:val="21"/>
      <w:szCs w:val="21"/>
      <w:lang w:val="en-US" w:eastAsia="zh-CN" w:bidi="ar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Body Text First Indent 2"/>
    <w:basedOn w:val="2"/>
    <w:qFormat/>
    <w:uiPriority w:val="0"/>
    <w:pPr>
      <w:tabs>
        <w:tab w:val="left" w:pos="2160"/>
      </w:tabs>
      <w:spacing w:line="360" w:lineRule="auto"/>
      <w:ind w:firstLine="480"/>
    </w:pPr>
    <w:rPr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12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Body text|2"/>
    <w:basedOn w:val="1"/>
    <w:qFormat/>
    <w:uiPriority w:val="0"/>
    <w:pPr>
      <w:shd w:val="clear" w:color="auto" w:fill="FFFFFF"/>
      <w:spacing w:before="660" w:line="619" w:lineRule="exact"/>
      <w:ind w:firstLine="600"/>
    </w:pPr>
    <w:rPr>
      <w:rFonts w:ascii="PMingLiU" w:hAnsi="PMingLiU" w:eastAsia="PMingLiU" w:cs="PMingLiU"/>
      <w:sz w:val="26"/>
      <w:szCs w:val="26"/>
    </w:rPr>
  </w:style>
  <w:style w:type="character" w:customStyle="1" w:styleId="16">
    <w:name w:val="Body text|2 + Bold"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7">
    <w:name w:val="Body text|2 + Spacing 2 pt"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8">
    <w:name w:val="Body text|2 + 14 pt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19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xjda</Company>
  <Pages>2</Pages>
  <Words>700</Words>
  <Characters>827</Characters>
  <Lines>3</Lines>
  <Paragraphs>1</Paragraphs>
  <TotalTime>8</TotalTime>
  <ScaleCrop>false</ScaleCrop>
  <LinksUpToDate>false</LinksUpToDate>
  <CharactersWithSpaces>847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2014-10-18T09:28:00Z</dcterms:created>
  <dc:creator>章运_65zy</dc:creator>
  <cp:lastModifiedBy>yjj114</cp:lastModifiedBy>
  <cp:lastPrinted>2024-01-31T08:38:00Z</cp:lastPrinted>
  <dcterms:modified xsi:type="dcterms:W3CDTF">2024-07-26T16:32:40Z</dcterms:modified>
  <dc:title>标准号：2024YC-0008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A6B0168D8123449586E5F996737E5BC1_13</vt:lpwstr>
  </property>
</Properties>
</file>