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 欧神香草地区性民间习用药材质量标准制定草案公示稿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Hlk148540896"/>
      <w:r>
        <w:rPr>
          <w:rFonts w:hint="default" w:ascii="Times New Roman" w:hAnsi="Times New Roman" w:eastAsia="黑体" w:cs="Times New Roman"/>
          <w:bCs/>
          <w:sz w:val="32"/>
          <w:szCs w:val="32"/>
        </w:rPr>
        <w:t>欧神香草</w:t>
      </w:r>
    </w:p>
    <w:bookmarkEnd w:id="0"/>
    <w:p>
      <w:pPr>
        <w:spacing w:line="360" w:lineRule="auto"/>
        <w:jc w:val="center"/>
        <w:rPr>
          <w:rFonts w:hint="default"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bCs/>
          <w:kern w:val="0"/>
          <w:sz w:val="32"/>
          <w:szCs w:val="32"/>
        </w:rPr>
        <w:t>Oushenxiangcao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5" w:afterLines="75" w:line="360" w:lineRule="auto"/>
        <w:jc w:val="center"/>
        <w:textAlignment w:val="auto"/>
        <w:rPr>
          <w:rFonts w:hint="default" w:ascii="Times New Roman" w:hAnsi="Times New Roman" w:eastAsia="宋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kern w:val="0"/>
          <w:sz w:val="32"/>
          <w:szCs w:val="32"/>
        </w:rPr>
        <w:t>HYSSOPI OFFICINALIS HERBA</w:t>
      </w:r>
    </w:p>
    <w:p>
      <w:pPr>
        <w:spacing w:line="480" w:lineRule="exact"/>
        <w:ind w:firstLine="480" w:firstLineChars="200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本品为唇形科植物欧神香草</w:t>
      </w:r>
      <w:r>
        <w:rPr>
          <w:rFonts w:hint="default" w:ascii="Times New Roman" w:hAnsi="Times New Roman" w:eastAsia="宋体" w:cs="Times New Roman"/>
          <w:i/>
          <w:iCs/>
          <w:kern w:val="0"/>
          <w:sz w:val="24"/>
        </w:rPr>
        <w:t>Hyssopus officinalis</w:t>
      </w:r>
      <w:r>
        <w:rPr>
          <w:rFonts w:hint="default" w:ascii="Times New Roman" w:hAnsi="Times New Roman" w:eastAsia="宋体" w:cs="Times New Roman"/>
          <w:kern w:val="0"/>
          <w:sz w:val="24"/>
        </w:rPr>
        <w:t xml:space="preserve"> L.的干燥地上部分，夏秋两季花期采割，除去杂质，晒干或切段晒干。</w:t>
      </w:r>
    </w:p>
    <w:p>
      <w:pPr>
        <w:pStyle w:val="3"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</w:rPr>
        <w:t>【</w:t>
      </w:r>
      <w:r>
        <w:rPr>
          <w:rFonts w:hint="default" w:ascii="Times New Roman" w:hAnsi="Times New Roman" w:eastAsia="黑体" w:cs="Times New Roman"/>
          <w:sz w:val="24"/>
        </w:rPr>
        <w:t xml:space="preserve">性状】 </w:t>
      </w:r>
      <w:r>
        <w:rPr>
          <w:rFonts w:hint="default" w:ascii="Times New Roman" w:hAnsi="Times New Roman" w:eastAsia="宋体" w:cs="Times New Roman"/>
          <w:kern w:val="0"/>
          <w:sz w:val="24"/>
        </w:rPr>
        <w:t>本品茎钝四棱形，具条纹，被短柔毛。叶线状披针形，长1～4cm，宽2～7mm，先端钝，基部渐狭至楔形，无柄，两面无毛，具腺点。花萼管状黄绿色，连齿长约7.5mm；花冠多皱缩，蓝紫色，长约1cm；雄蕊及花柱长出花冠。气芳香，味</w:t>
      </w:r>
      <w:r>
        <w:rPr>
          <w:rFonts w:hint="default" w:ascii="Times New Roman" w:hAnsi="Times New Roman" w:eastAsia="宋体" w:cs="Times New Roman"/>
          <w:color w:val="000000"/>
          <w:sz w:val="24"/>
          <w:lang w:val="zh-CN"/>
        </w:rPr>
        <w:t>辛苦</w:t>
      </w:r>
      <w:r>
        <w:rPr>
          <w:rFonts w:hint="default" w:ascii="Times New Roman" w:hAnsi="Times New Roman" w:eastAsia="宋体" w:cs="Times New Roman"/>
          <w:kern w:val="0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【鉴别】 （1）</w:t>
      </w:r>
      <w:r>
        <w:rPr>
          <w:rFonts w:hint="default" w:ascii="Times New Roman" w:hAnsi="Times New Roman" w:cs="Times New Roman"/>
          <w:color w:val="000000"/>
          <w:sz w:val="24"/>
        </w:rPr>
        <w:t>本品粉末黄绿色。非腺毛多破碎，完整者为1～3个细胞组成，表面具疣状突起。腺鳞类圆形，直径20～100μm。气孔直轴式。螺纹导管多见。纤维具孔，直径约10μm。花粉粒偶见，类圆形或椭圆形，直径20～40μm，有6个萌发孔。</w:t>
      </w:r>
    </w:p>
    <w:p>
      <w:pPr>
        <w:spacing w:line="48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2）取本品粉末1g，加甲醇15ml，超声处理15分钟，滤过，作为供试品溶液。另取欧神香草对照药材1g，同法制成对照药材溶液。再取迷迭香酸对照品，加甲醇制成每1ml含0.5mg的溶液，作为对照品溶液。照薄层色谱法试验（《中国药典》2020年版四部 通则0502），吸取供试品溶液和对照药材溶液各5µl、对照品溶液3μl，分别点于同一硅胶G薄层板上，以二氯甲烷-乙酸乙酯-甲酸（5：2：1）为展开剂，展开，取出，晾干。置紫外光灯(365nm)下检视。供试品色谱中，在与对照药材色谱和对照品色谱相应的位置上，显相同颜色的荧光斑点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【检查】 水分  </w:t>
      </w:r>
      <w:r>
        <w:rPr>
          <w:rFonts w:hint="default" w:ascii="Times New Roman" w:hAnsi="Times New Roman" w:cs="Times New Roman"/>
          <w:kern w:val="0"/>
          <w:sz w:val="24"/>
        </w:rPr>
        <w:t>不得过11.0%</w:t>
      </w:r>
      <w:r>
        <w:rPr>
          <w:rFonts w:hint="default" w:ascii="Times New Roman" w:hAnsi="Times New Roman" w:cs="Times New Roman"/>
          <w:sz w:val="24"/>
        </w:rPr>
        <w:t>（《中国药典》2020年版通则0832第二法）。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总灰分  </w:t>
      </w:r>
      <w:r>
        <w:rPr>
          <w:rFonts w:hint="default" w:ascii="Times New Roman" w:hAnsi="Times New Roman" w:cs="Times New Roman"/>
          <w:kern w:val="0"/>
          <w:sz w:val="24"/>
        </w:rPr>
        <w:t>不得过15.0%（</w:t>
      </w:r>
      <w:r>
        <w:rPr>
          <w:rFonts w:hint="default" w:ascii="Times New Roman" w:hAnsi="Times New Roman" w:cs="Times New Roman"/>
          <w:sz w:val="24"/>
        </w:rPr>
        <w:t>《中国药典》2020年版通则</w:t>
      </w:r>
      <w:r>
        <w:rPr>
          <w:rFonts w:hint="default" w:ascii="Times New Roman" w:hAnsi="Times New Roman" w:cs="Times New Roman"/>
          <w:kern w:val="0"/>
          <w:sz w:val="24"/>
        </w:rPr>
        <w:t>2302）。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酸不溶性灰分</w:t>
      </w:r>
      <w:r>
        <w:rPr>
          <w:rFonts w:hint="default" w:ascii="Times New Roman" w:hAnsi="Times New Roman" w:cs="Times New Roman"/>
          <w:kern w:val="0"/>
          <w:sz w:val="24"/>
        </w:rPr>
        <w:t xml:space="preserve">  不得过5.0%（</w:t>
      </w:r>
      <w:r>
        <w:rPr>
          <w:rFonts w:hint="default" w:ascii="Times New Roman" w:hAnsi="Times New Roman" w:cs="Times New Roman"/>
          <w:sz w:val="24"/>
        </w:rPr>
        <w:t>《中国药典》2020年版通则</w:t>
      </w:r>
      <w:r>
        <w:rPr>
          <w:rFonts w:hint="default" w:ascii="Times New Roman" w:hAnsi="Times New Roman" w:cs="Times New Roman"/>
          <w:kern w:val="0"/>
          <w:sz w:val="24"/>
        </w:rPr>
        <w:t>2302）。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【浸出物】 </w:t>
      </w:r>
      <w:r>
        <w:rPr>
          <w:rFonts w:hint="default" w:ascii="Times New Roman" w:hAnsi="Times New Roman" w:eastAsia="宋体" w:cs="Times New Roman"/>
          <w:kern w:val="0"/>
          <w:sz w:val="24"/>
        </w:rPr>
        <w:t>照水溶性浸出物测定法</w:t>
      </w:r>
      <w:r>
        <w:rPr>
          <w:rFonts w:hint="default" w:ascii="Times New Roman" w:hAnsi="Times New Roman" w:cs="Times New Roman"/>
          <w:sz w:val="24"/>
        </w:rPr>
        <w:t>(《中国药典》2020年版通则2201)项</w:t>
      </w:r>
      <w:r>
        <w:rPr>
          <w:rFonts w:hint="default" w:ascii="Times New Roman" w:hAnsi="Times New Roman" w:eastAsia="宋体" w:cs="Times New Roman"/>
          <w:kern w:val="0"/>
          <w:sz w:val="24"/>
        </w:rPr>
        <w:t>下的热浸法测定，不得少于30.0%。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kern w:val="0"/>
          <w:szCs w:val="28"/>
        </w:rPr>
      </w:pPr>
      <w:r>
        <w:rPr>
          <w:rFonts w:hint="default" w:ascii="Times New Roman" w:hAnsi="Times New Roman" w:eastAsia="黑体" w:cs="Times New Roman"/>
          <w:sz w:val="24"/>
        </w:rPr>
        <w:t xml:space="preserve">【性味与归经】 </w:t>
      </w:r>
      <w:r>
        <w:rPr>
          <w:rFonts w:hint="default" w:ascii="Times New Roman" w:hAnsi="Times New Roman" w:eastAsia="宋体" w:cs="Times New Roman"/>
          <w:color w:val="000000"/>
          <w:sz w:val="24"/>
          <w:lang w:val="zh-CN"/>
        </w:rPr>
        <w:t>二级干热，气芳香，味辛苦。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【功能与主治</w:t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8"/>
        </w:rPr>
        <w:t xml:space="preserve">】 </w:t>
      </w:r>
      <w:r>
        <w:rPr>
          <w:rFonts w:hint="default" w:ascii="Times New Roman" w:hAnsi="Times New Roman" w:cs="Times New Roman"/>
          <w:kern w:val="0"/>
          <w:sz w:val="24"/>
        </w:rPr>
        <w:t>生干生热，温肺平喘，祛寒止咳，燥湿祛痰，发汗解毒，消炎退肿。主治湿寒性和黏液质性呼吸器官疾病，如寒性哮喘、咳嗽感冒，湿性痰多，乃孜来毒液流窜胸肺，胸膜炎、气管炎、肺炎及水肿。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【用法与用量】 </w:t>
      </w:r>
      <w:r>
        <w:rPr>
          <w:rFonts w:hint="default" w:ascii="Times New Roman" w:hAnsi="Times New Roman" w:eastAsia="宋体" w:cs="Times New Roman"/>
          <w:color w:val="000000"/>
          <w:sz w:val="24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lang w:val="zh-CN"/>
        </w:rPr>
        <w:t>～</w:t>
      </w:r>
      <w:r>
        <w:rPr>
          <w:rFonts w:hint="default" w:ascii="Times New Roman" w:hAnsi="Times New Roman" w:eastAsia="宋体" w:cs="Times New Roman"/>
          <w:color w:val="000000"/>
          <w:sz w:val="24"/>
        </w:rPr>
        <w:t>6g</w:t>
      </w:r>
      <w:r>
        <w:rPr>
          <w:rFonts w:hint="default" w:ascii="Times New Roman" w:hAnsi="Times New Roman" w:eastAsia="宋体" w:cs="Times New Roman"/>
          <w:color w:val="000000"/>
          <w:sz w:val="24"/>
          <w:lang w:val="zh-CN"/>
        </w:rPr>
        <w:t>。外用适量。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kern w:val="0"/>
          <w:szCs w:val="28"/>
        </w:rPr>
      </w:pPr>
      <w:r>
        <w:rPr>
          <w:rFonts w:hint="default" w:ascii="Times New Roman" w:hAnsi="Times New Roman" w:eastAsia="黑体" w:cs="Times New Roman"/>
          <w:sz w:val="24"/>
        </w:rPr>
        <w:t xml:space="preserve">【贮藏】 </w:t>
      </w:r>
      <w:r>
        <w:rPr>
          <w:rFonts w:hint="default" w:ascii="Times New Roman" w:hAnsi="Times New Roman" w:eastAsia="宋体" w:cs="Times New Roman"/>
          <w:color w:val="000000"/>
          <w:sz w:val="24"/>
        </w:rPr>
        <w:t>置阴凉干燥处，防霉，防蛀。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002F722D"/>
    <w:rsid w:val="0A893793"/>
    <w:rsid w:val="48F27928"/>
    <w:rsid w:val="4A1B390D"/>
    <w:rsid w:val="52C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830</Characters>
  <Lines>0</Lines>
  <Paragraphs>0</Paragraphs>
  <TotalTime>1</TotalTime>
  <ScaleCrop>false</ScaleCrop>
  <LinksUpToDate>false</LinksUpToDate>
  <CharactersWithSpaces>851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dcterms:modified xsi:type="dcterms:W3CDTF">2024-06-12T04:37:26Z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