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 红葡萄干地区性民间习用药材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  <w:t>红葡萄干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</w:rPr>
        <w:t>Hongputaogan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fr-FR"/>
        </w:rPr>
        <w:t>VITIS VINIFERAE FUCTUS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5" w:afterLines="75" w:line="360" w:lineRule="auto"/>
        <w:jc w:val="center"/>
        <w:textAlignment w:val="auto"/>
        <w:rPr>
          <w:rFonts w:ascii="Times New Roman" w:hAnsi="Times New Roman" w:eastAsia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</w:rPr>
        <w:t xml:space="preserve">  </w:t>
      </w:r>
      <w:r>
        <w:rPr>
          <w:rFonts w:ascii="Times New Roman" w:hAnsi="Times New Roman" w:eastAsia="宋体"/>
          <w:color w:val="auto"/>
          <w:sz w:val="32"/>
          <w:szCs w:val="32"/>
          <w:highlight w:val="none"/>
        </w:rPr>
        <w:drawing>
          <wp:inline distT="0" distB="0" distL="114300" distR="114300">
            <wp:extent cx="1099185" cy="263525"/>
            <wp:effectExtent l="0" t="0" r="5715" b="317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本品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为葡萄科葡萄(</w:t>
      </w:r>
      <w:r>
        <w:rPr>
          <w:rFonts w:hint="default" w:ascii="Times New Roman" w:hAnsi="Times New Roman" w:eastAsia="宋体" w:cs="Times New Roman"/>
          <w:bCs/>
          <w:i/>
          <w:iCs/>
          <w:color w:val="auto"/>
          <w:sz w:val="24"/>
          <w:highlight w:val="none"/>
        </w:rPr>
        <w:t>Vitis Vinifera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 xml:space="preserve"> L．)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的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红葡萄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干燥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成熟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果实。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夏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秋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季果实成熟时采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摘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晒干或热风烘干，除去果梗和杂质。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highlight w:val="none"/>
        </w:rPr>
        <w:t>【性状】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本品呈长圆形或类圆形，略扁，长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～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mm，宽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～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mm，表面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暗红或略带黄绿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色，皱缩，顶端有一点状凸起。质较柔软，易于撕碎，断面胶质状，有的内含种子1～4枚，三角状卵形。气微，味甜微酸。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highlight w:val="none"/>
        </w:rPr>
        <w:t>【鉴别】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（1）本品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粉末黄棕色粘胶状。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外果皮细胞多角形，含针晶束，中果皮薄壁细胞大，偶见簇晶，内果皮细胞中螺纹导管多见。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（2）取本品（剪成直径或长度不超过3mm的碎片）2g，加正丁醇20 ml，超声处理30分钟，滤过，滤液蒸干，残渣加甲醇2 ml使溶解，作为供试品溶液。另取红葡萄干对照药材2g，同法制成对照药材溶液。再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取齐墩果酸对照品，加甲醇制成每1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ml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含1mg的溶液，作为对照品溶液。照薄层色谱法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《中国药典》2020年版通则0502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试验，吸取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上述三种溶液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各5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μl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，分别点于同一硅胶G薄层板上，以环已烷-丙酮-乙酸乙酯-甲酸(9:2:1:0.2) 为展开剂，展开，取出，晾干，喷以10％硫酸乙醇溶液，在105℃加热至斑点显色清晰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置紫外光灯（365nm）下检视。供试品色谱中，在与对照药材色谱和对照品色谱相应位置上，显相同颜色的荧光斑点。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【检查】 水分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 xml:space="preserve"> 不得过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18.0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%（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《中国药典》2020年版通则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0832 第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总灰分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 xml:space="preserve"> 不得过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3.0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%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《中国药典》2020年版通则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2302）。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 xml:space="preserve">【浸出物】 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 xml:space="preserve"> 照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水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溶性浸出物测定法（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《中国药典》2020年版通则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2201）项下的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冷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浸法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测定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，不得少于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72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.0%。</w:t>
      </w:r>
    </w:p>
    <w:p>
      <w:pPr>
        <w:keepNext w:val="0"/>
        <w:keepLines w:val="0"/>
        <w:pageBreakBefore w:val="0"/>
        <w:tabs>
          <w:tab w:val="left" w:pos="420"/>
          <w:tab w:val="left" w:pos="2114"/>
          <w:tab w:val="left" w:pos="30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top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val="en-US" w:eastAsia="zh-CN"/>
        </w:rPr>
        <w:t>【性味与归经】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性湿热，味甜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val="en-US" w:eastAsia="zh-CN"/>
        </w:rPr>
        <w:t>【功能与主治】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生湿生热，滋补全身，肥体填精，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润肺止咳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有核治疗腹痛，无核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通阻软便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用于体弱身瘦，精液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不足，血虚面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，大便不畅等。</w:t>
      </w:r>
    </w:p>
    <w:p>
      <w:pPr>
        <w:keepNext w:val="0"/>
        <w:keepLines w:val="0"/>
        <w:pageBreakBefore w:val="0"/>
        <w:tabs>
          <w:tab w:val="left" w:pos="420"/>
          <w:tab w:val="left" w:pos="2114"/>
          <w:tab w:val="left" w:pos="30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top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val="en-US" w:eastAsia="zh-CN"/>
        </w:rPr>
        <w:t>【用法与用量】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 xml:space="preserve"> 10~30g。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【</w:t>
      </w: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val="en-US" w:eastAsia="zh-CN"/>
        </w:rPr>
        <w:t>贮藏</w:t>
      </w: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】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置通风干燥处，防闷热，防潮，防蛀。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002F722D"/>
    <w:rsid w:val="48F27928"/>
    <w:rsid w:val="4A1B390D"/>
    <w:rsid w:val="52C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1117</Words>
  <Characters>1289</Characters>
  <Lines>0</Lines>
  <Paragraphs>0</Paragraphs>
  <TotalTime>9</TotalTime>
  <ScaleCrop>false</ScaleCrop>
  <LinksUpToDate>false</LinksUpToDate>
  <CharactersWithSpaces>1316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dcterms:modified xsi:type="dcterms:W3CDTF">2024-06-11T11:25:16Z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