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附件：3蚕蛹地区性民间习用药材质量标准制定草案公示稿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left="23" w:firstLine="643" w:firstLineChars="20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 w:bidi="ar-SA"/>
        </w:rPr>
        <w:t>蚕蛹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23" w:firstLine="64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 w:bidi="en-US"/>
        </w:rPr>
        <w:t>Canyong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>PUPA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>BOMBYCIS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64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>قۇرتى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 xml:space="preserve"> پىلە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480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本品为蚕蛾科昆虫家蚕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>mbyx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 xml:space="preserve"> mori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Linnaeus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的干燥蛹。</w:t>
      </w:r>
      <w:r>
        <w:rPr>
          <w:rFonts w:ascii="方正书宋_GBK" w:hAnsi="方正书宋_GBK" w:eastAsia="方正书宋_GBK" w:cs="方正书宋_GBK"/>
          <w:color w:val="000000"/>
          <w:kern w:val="0"/>
          <w:sz w:val="24"/>
          <w:szCs w:val="24"/>
          <w:highlight w:val="none"/>
          <w:lang w:val="en-US" w:eastAsia="zh-CN" w:bidi="ar"/>
        </w:rPr>
        <w:t>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方正书宋_GBK" w:hAnsi="方正书宋_GBK" w:eastAsia="方正书宋_GBK" w:cs="方正书宋_GBK"/>
          <w:color w:val="000000"/>
          <w:kern w:val="0"/>
          <w:sz w:val="24"/>
          <w:szCs w:val="24"/>
          <w:highlight w:val="none"/>
          <w:lang w:val="en-US" w:eastAsia="zh-CN" w:bidi="ar"/>
        </w:rPr>
        <w:t>秋季从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缫丝后的蚕茧中取出，晒干或烘干。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</w:t>
      </w: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性状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本品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近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似纺锤形或椭圆形，长1.3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2.5cm，宽0.8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1.4cm。表面棕黄色至棕褐色，有油脂样或蜡样光泽。头部钝圆，尾部钝圆而略尖，腹面皱缩而凹陷。头部一对单眼及足；未完全分化的薄翅紧贴上腹部两侧，下腹部为环节。背面头部为未分化的倒三角形盾片，以下约有10个环节，其中颈部及尾部3节不甚明显。质脆易碎，横断面外层淡黄白色，内层深褐色，中空。气微腥，味微咸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</w:t>
      </w: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鉴别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取本品粉末1.0g，加入50%乙醇10ml，超声提取10分钟，过滤，作为供试品溶液。另取蚕蛹对照药材1.0g，同法制成对照药材溶液。再取甘氨酸和丙氨酸对照品，加50%乙醇制成每1ml含甘氨酸0.3mg和丙氨酸0.2mg的混合对照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 w:bidi="en-US"/>
        </w:rPr>
        <w:t>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溶液。照薄层色谱法（《中国药典》2020年版四部通则0502）试验。分别吸取供试品溶液5µl、对照药材溶液5µl和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 w:bidi="en-US"/>
        </w:rPr>
        <w:t>混合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对照品溶液3µl，分别点于同一硅胶G薄层板上，以正丁醇-冰醋酸-水（3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 w:bidi="en-US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 w:bidi="en-US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0.7）为展开剂，展开，取出，晾干，喷以茚三酮试液，置于105℃条件下至斑点清晰。供试品色谱中，在与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 w:bidi="en-US"/>
        </w:rPr>
        <w:t>对照药材、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  <w:t>对照品色谱相应的位置上，显相同</w:t>
      </w:r>
      <w:r>
        <w:t>颜色的斑点</w:t>
      </w:r>
      <w:r>
        <w:rPr>
          <w:rFonts w:hint="eastAsia" w:eastAsia="宋体"/>
          <w:lang w:eastAsia="zh-CN"/>
        </w:rPr>
        <w:t>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2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Style w:val="10"/>
          <w:rFonts w:ascii="Times New Roman" w:hAnsi="Times New Roman" w:eastAsia="宋体" w:cs="Times New Roman"/>
          <w:sz w:val="24"/>
          <w:szCs w:val="24"/>
          <w:highlight w:val="none"/>
        </w:rPr>
        <w:t>【检查】</w:t>
      </w:r>
      <w:r>
        <w:rPr>
          <w:rStyle w:val="10"/>
          <w:rFonts w:hint="eastAsia" w:ascii="Times New Roman" w:hAnsi="Times New Roman" w:eastAsia="宋体" w:cs="Times New Roman"/>
          <w:sz w:val="24"/>
          <w:szCs w:val="24"/>
          <w:highlight w:val="none"/>
          <w:lang w:val="en-US"/>
        </w:rPr>
        <w:t xml:space="preserve"> </w:t>
      </w:r>
      <w:r>
        <w:rPr>
          <w:rStyle w:val="10"/>
          <w:rFonts w:ascii="Times New Roman" w:hAnsi="Times New Roman" w:eastAsia="宋体" w:cs="Times New Roman"/>
          <w:sz w:val="24"/>
          <w:szCs w:val="24"/>
          <w:highlight w:val="none"/>
        </w:rPr>
        <w:t>水分</w:t>
      </w:r>
      <w:r>
        <w:rPr>
          <w:rStyle w:val="10"/>
          <w:rFonts w:hint="eastAsia" w:ascii="Times New Roman" w:hAnsi="Times New Roman" w:eastAsia="宋体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不得过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10.0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《中国药典》20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</w:t>
      </w:r>
      <w:r>
        <w:rPr>
          <w:rFonts w:ascii="Times New Roman" w:hAnsi="Times New Roman" w:eastAsia="宋体" w:cs="Times New Roman"/>
          <w:sz w:val="24"/>
          <w:szCs w:val="24"/>
        </w:rPr>
        <w:t>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通则0832第二法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bidi="en-US"/>
        </w:rPr>
      </w:pPr>
      <w:r>
        <w:rPr>
          <w:rStyle w:val="10"/>
          <w:rFonts w:ascii="Times New Roman" w:hAnsi="Times New Roman" w:eastAsia="宋体" w:cs="Times New Roman"/>
          <w:sz w:val="24"/>
          <w:szCs w:val="24"/>
        </w:rPr>
        <w:t>总灰分</w:t>
      </w:r>
      <w:r>
        <w:rPr>
          <w:rStyle w:val="10"/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不得过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6.0</w:t>
      </w:r>
      <w:r>
        <w:rPr>
          <w:rFonts w:hint="eastAsia"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《中国药典》20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通则2302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en-US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bidi="en-US"/>
        </w:rPr>
        <w:t>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Style w:val="10"/>
          <w:rFonts w:ascii="Times New Roman" w:hAnsi="Times New Roman" w:eastAsia="宋体" w:cs="Times New Roman"/>
          <w:sz w:val="24"/>
          <w:szCs w:val="24"/>
        </w:rPr>
        <w:t>【浸出物】</w:t>
      </w:r>
      <w:r>
        <w:rPr>
          <w:rStyle w:val="10"/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照醇溶性浸出物测定法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《中国药典》20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</w:rPr>
        <w:t>通则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2201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en-US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项下的热浸法规定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用乙醇作溶剂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不得少于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15.0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%。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Style w:val="11"/>
          <w:rFonts w:ascii="Times New Roman" w:hAnsi="Times New Roman" w:eastAsia="宋体" w:cs="Times New Roman"/>
          <w:b/>
          <w:spacing w:val="0"/>
          <w:sz w:val="24"/>
          <w:szCs w:val="24"/>
        </w:rPr>
        <w:t>饮片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Style w:val="10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炮制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除去杂质，筛去灰屑。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【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性状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】【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鉴别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】【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检查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】【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浸出物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】同药材。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性味与归经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甘、辛、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，微温。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归脾，胃经。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ascii="Times New Roman" w:hAnsi="Times New Roman" w:eastAsia="宋体" w:cs="Times New Roman"/>
          <w:b/>
          <w:sz w:val="24"/>
          <w:szCs w:val="24"/>
        </w:rPr>
        <w:t>功能与</w:t>
      </w:r>
      <w:r>
        <w:rPr>
          <w:rStyle w:val="10"/>
          <w:rFonts w:ascii="Times New Roman" w:hAnsi="Times New Roman" w:eastAsia="宋体" w:cs="Times New Roman"/>
          <w:color w:val="auto"/>
          <w:sz w:val="24"/>
          <w:szCs w:val="24"/>
        </w:rPr>
        <w:t>主治</w:t>
      </w:r>
      <w:r>
        <w:rPr>
          <w:rStyle w:val="10"/>
          <w:rFonts w:ascii="Times New Roman" w:hAnsi="Times New Roman" w:eastAsia="宋体" w:cs="Times New Roman"/>
          <w:sz w:val="24"/>
          <w:szCs w:val="24"/>
        </w:rPr>
        <w:t>】</w:t>
      </w:r>
      <w:r>
        <w:rPr>
          <w:rStyle w:val="10"/>
          <w:rFonts w:hint="eastAsia" w:eastAsia="宋体" w:cs="Times New Roman"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生津止渴，消食理气。用于消渴，消瘦，小儿疳积。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Style w:val="10"/>
          <w:rFonts w:ascii="Times New Roman" w:hAnsi="Times New Roman" w:eastAsia="宋体" w:cs="Times New Roman"/>
          <w:sz w:val="24"/>
          <w:szCs w:val="24"/>
        </w:rPr>
        <w:t>【用</w:t>
      </w:r>
      <w:r>
        <w:rPr>
          <w:rFonts w:ascii="Times New Roman" w:hAnsi="Times New Roman" w:eastAsia="宋体" w:cs="Times New Roman"/>
          <w:b/>
          <w:sz w:val="24"/>
          <w:szCs w:val="24"/>
        </w:rPr>
        <w:t>法与</w:t>
      </w:r>
      <w:r>
        <w:rPr>
          <w:rStyle w:val="10"/>
          <w:rFonts w:ascii="Times New Roman" w:hAnsi="Times New Roman" w:eastAsia="宋体" w:cs="Times New Roman"/>
          <w:sz w:val="24"/>
          <w:szCs w:val="24"/>
        </w:rPr>
        <w:t>用量】</w:t>
      </w:r>
      <w:r>
        <w:rPr>
          <w:rStyle w:val="10"/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3~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en-US"/>
        </w:rPr>
        <w:t>15</w:t>
      </w:r>
      <w:r>
        <w:rPr>
          <w:rStyle w:val="12"/>
          <w:rFonts w:ascii="Times New Roman" w:hAnsi="Times New Roman" w:eastAsia="宋体" w:cs="Times New Roman"/>
          <w:sz w:val="24"/>
          <w:szCs w:val="24"/>
          <w:lang w:eastAsia="zh-CN"/>
        </w:rPr>
        <w:t>g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水煎服或炒食。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贮藏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置干燥处，防霉，防蛀。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1367361D"/>
    <w:rsid w:val="42A9499C"/>
    <w:rsid w:val="52C8799A"/>
    <w:rsid w:val="65A6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paragraph" w:customStyle="1" w:styleId="8">
    <w:name w:val="Body text|5"/>
    <w:basedOn w:val="1"/>
    <w:autoRedefine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9">
    <w:name w:val="Body text|2"/>
    <w:basedOn w:val="1"/>
    <w:autoRedefine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0">
    <w:name w:val="Body text|2 + Bold"/>
    <w:autoRedefine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1">
    <w:name w:val="Body text|2 + Spacing 2 pt"/>
    <w:autoRedefine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2">
    <w:name w:val="Body text|2 + 14 pt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758</Characters>
  <Lines>0</Lines>
  <Paragraphs>0</Paragraphs>
  <TotalTime>0</TotalTime>
  <ScaleCrop>false</ScaleCrop>
  <LinksUpToDate>false</LinksUpToDate>
  <CharactersWithSpaces>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</cp:lastModifiedBy>
  <cp:lastPrinted>2024-05-28T09:01:00Z</cp:lastPrinted>
  <dcterms:modified xsi:type="dcterms:W3CDTF">2024-07-04T03:23:28Z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5ED0461851A04D969128012011492BEB_13</vt:lpwstr>
  </property>
</Properties>
</file>