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topLinePunct w:val="0"/>
        <w:autoSpaceDE/>
        <w:autoSpaceDN/>
        <w:bidi w:val="0"/>
        <w:snapToGrid/>
        <w:spacing w:line="600" w:lineRule="exact"/>
        <w:jc w:val="center"/>
        <w:textAlignment w:val="auto"/>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bCs/>
          <w:sz w:val="44"/>
          <w:szCs w:val="28"/>
          <w:highlight w:val="none"/>
        </w:rPr>
        <w:t>新疆维吾尔自治区药品</w:t>
      </w:r>
      <w:r>
        <w:rPr>
          <w:rFonts w:hint="eastAsia" w:ascii="方正小标宋_GBK" w:hAnsi="方正小标宋_GBK" w:eastAsia="方正小标宋_GBK" w:cs="方正小标宋_GBK"/>
          <w:bCs/>
          <w:sz w:val="44"/>
          <w:szCs w:val="44"/>
          <w:highlight w:val="none"/>
        </w:rPr>
        <w:t>监督管理局</w:t>
      </w:r>
    </w:p>
    <w:p>
      <w:pPr>
        <w:pStyle w:val="7"/>
        <w:keepNext w:val="0"/>
        <w:keepLines w:val="0"/>
        <w:pageBreakBefore w:val="0"/>
        <w:topLinePunct w:val="0"/>
        <w:autoSpaceDE/>
        <w:autoSpaceDN/>
        <w:bidi w:val="0"/>
        <w:snapToGrid/>
        <w:spacing w:line="600"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行政处罚决定书</w:t>
      </w:r>
    </w:p>
    <w:p>
      <w:pPr>
        <w:pStyle w:val="8"/>
        <w:keepNext w:val="0"/>
        <w:keepLines w:val="0"/>
        <w:pageBreakBefore w:val="0"/>
        <w:topLinePunct w:val="0"/>
        <w:autoSpaceDE/>
        <w:autoSpaceDN/>
        <w:bidi w:val="0"/>
        <w:adjustRightInd w:val="0"/>
        <w:snapToGrid/>
        <w:spacing w:before="289" w:beforeLines="50" w:after="289" w:afterLines="50" w:line="600" w:lineRule="exact"/>
        <w:jc w:val="center"/>
        <w:textAlignment w:val="auto"/>
        <w:rPr>
          <w:rFonts w:ascii="仿宋_GB2312" w:hAnsi="仿宋_GB2312" w:eastAsia="仿宋_GB2312" w:cs="仿宋"/>
          <w:sz w:val="32"/>
          <w:szCs w:val="32"/>
          <w:highlight w:val="none"/>
          <w:u w:val="none"/>
        </w:rPr>
      </w:pPr>
      <w:r>
        <w:rPr>
          <w:rFonts w:hint="eastAsia" w:ascii="仿宋_GB2312" w:hAnsi="仿宋_GB2312" w:eastAsia="仿宋_GB2312" w:cs="仿宋"/>
          <w:sz w:val="32"/>
          <w:szCs w:val="32"/>
          <w:highlight w:val="none"/>
          <w:u w:val="none"/>
          <w:lang w:val="en-US" w:eastAsia="zh-CN"/>
        </w:rPr>
        <w:t>(</w:t>
      </w:r>
      <w:r>
        <w:rPr>
          <w:rFonts w:hint="eastAsia" w:ascii="仿宋_GB2312" w:hAnsi="仿宋_GB2312" w:eastAsia="仿宋_GB2312" w:cs="仿宋"/>
          <w:sz w:val="32"/>
          <w:szCs w:val="32"/>
          <w:highlight w:val="none"/>
          <w:u w:val="none"/>
        </w:rPr>
        <w:t>新</w:t>
      </w:r>
      <w:r>
        <w:rPr>
          <w:rFonts w:hint="eastAsia" w:ascii="仿宋_GB2312" w:hAnsi="仿宋_GB2312" w:eastAsia="仿宋_GB2312" w:cs="仿宋"/>
          <w:sz w:val="32"/>
          <w:szCs w:val="32"/>
          <w:highlight w:val="none"/>
          <w:u w:val="none"/>
          <w:lang w:val="en-US" w:eastAsia="zh-CN"/>
        </w:rPr>
        <w:t>)</w:t>
      </w:r>
      <w:r>
        <w:rPr>
          <w:rFonts w:hint="eastAsia" w:ascii="仿宋_GB2312" w:hAnsi="仿宋_GB2312" w:eastAsia="仿宋_GB2312" w:cs="仿宋"/>
          <w:sz w:val="32"/>
          <w:szCs w:val="32"/>
          <w:highlight w:val="none"/>
          <w:u w:val="none"/>
        </w:rPr>
        <w:t>药监</w:t>
      </w:r>
      <w:r>
        <w:rPr>
          <w:rFonts w:hint="eastAsia" w:ascii="仿宋_GB2312" w:hAnsi="仿宋_GB2312" w:eastAsia="仿宋_GB2312" w:cs="仿宋"/>
          <w:sz w:val="32"/>
          <w:szCs w:val="32"/>
          <w:highlight w:val="none"/>
          <w:u w:val="none"/>
          <w:lang w:eastAsia="zh-CN"/>
        </w:rPr>
        <w:t>械</w:t>
      </w:r>
      <w:r>
        <w:rPr>
          <w:rFonts w:hint="eastAsia" w:ascii="仿宋_GB2312" w:hAnsi="仿宋_GB2312" w:eastAsia="仿宋_GB2312" w:cs="方正小标宋简体"/>
          <w:bCs/>
          <w:sz w:val="32"/>
          <w:szCs w:val="44"/>
          <w:highlight w:val="none"/>
          <w:u w:val="none"/>
        </w:rPr>
        <w:t>处罚</w:t>
      </w:r>
      <w:r>
        <w:rPr>
          <w:rFonts w:hint="eastAsia" w:ascii="仿宋_GB2312" w:hAnsi="仿宋_GB2312" w:eastAsia="仿宋_GB2312" w:cs="仿宋"/>
          <w:sz w:val="32"/>
          <w:szCs w:val="32"/>
          <w:highlight w:val="none"/>
          <w:u w:val="none"/>
        </w:rPr>
        <w:t>〔</w:t>
      </w:r>
      <w:r>
        <w:rPr>
          <w:rFonts w:hint="eastAsia" w:ascii="仿宋_GB2312" w:hAnsi="仿宋_GB2312" w:eastAsia="仿宋_GB2312" w:cs="仿宋"/>
          <w:sz w:val="32"/>
          <w:szCs w:val="32"/>
          <w:highlight w:val="none"/>
          <w:u w:val="none"/>
          <w:lang w:val="en-US" w:eastAsia="zh-CN"/>
        </w:rPr>
        <w:t>2023</w:t>
      </w:r>
      <w:r>
        <w:rPr>
          <w:rFonts w:hint="eastAsia" w:ascii="仿宋_GB2312" w:hAnsi="仿宋_GB2312" w:eastAsia="仿宋_GB2312" w:cs="仿宋"/>
          <w:sz w:val="32"/>
          <w:szCs w:val="32"/>
          <w:highlight w:val="none"/>
          <w:u w:val="none"/>
        </w:rPr>
        <w:t>〕</w:t>
      </w:r>
      <w:r>
        <w:rPr>
          <w:rFonts w:hint="eastAsia" w:ascii="仿宋_GB2312" w:hAnsi="仿宋_GB2312" w:eastAsia="仿宋_GB2312" w:cs="仿宋"/>
          <w:sz w:val="32"/>
          <w:szCs w:val="32"/>
          <w:highlight w:val="none"/>
          <w:u w:val="none"/>
          <w:lang w:val="en-US" w:eastAsia="zh-CN"/>
        </w:rPr>
        <w:t>6</w:t>
      </w:r>
      <w:r>
        <w:rPr>
          <w:rFonts w:hint="eastAsia" w:ascii="仿宋_GB2312" w:hAnsi="仿宋_GB2312" w:eastAsia="仿宋_GB2312" w:cs="仿宋"/>
          <w:sz w:val="32"/>
          <w:szCs w:val="32"/>
          <w:highlight w:val="none"/>
          <w:u w:val="none"/>
        </w:rPr>
        <w:t>号</w:t>
      </w:r>
    </w:p>
    <w:p>
      <w:pPr>
        <w:pStyle w:val="7"/>
        <w:keepNext w:val="0"/>
        <w:keepLines w:val="0"/>
        <w:pageBreakBefore w:val="0"/>
        <w:topLinePunct w:val="0"/>
        <w:autoSpaceDE/>
        <w:autoSpaceDN/>
        <w:bidi w:val="0"/>
        <w:snapToGrid/>
        <w:spacing w:line="600" w:lineRule="exact"/>
        <w:textAlignment w:val="auto"/>
        <w:rPr>
          <w:rFonts w:hint="eastAsia" w:ascii="Times New Roman" w:hAnsi="Times New Roman" w:eastAsia="仿宋_GB2312" w:cs="微软雅黑"/>
          <w:sz w:val="32"/>
          <w:szCs w:val="32"/>
          <w:highlight w:val="none"/>
          <w:u w:val="none"/>
        </w:rPr>
      </w:pPr>
    </w:p>
    <w:p>
      <w:pPr>
        <w:pStyle w:val="7"/>
        <w:keepNext w:val="0"/>
        <w:keepLines w:val="0"/>
        <w:pageBreakBefore w:val="0"/>
        <w:widowControl w:val="0"/>
        <w:wordWrap/>
        <w:topLinePunct w:val="0"/>
        <w:autoSpaceDE/>
        <w:autoSpaceDN/>
        <w:bidi w:val="0"/>
        <w:snapToGrid/>
        <w:spacing w:line="600" w:lineRule="exact"/>
        <w:ind w:left="1440" w:hanging="1440" w:hangingChars="45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当事人：</w:t>
      </w:r>
      <w:r>
        <w:rPr>
          <w:rFonts w:hint="eastAsia" w:ascii="Times New Roman" w:hAnsi="Times New Roman" w:eastAsia="仿宋_GB2312" w:cs="仿宋_GB2312"/>
          <w:kern w:val="2"/>
          <w:sz w:val="32"/>
          <w:szCs w:val="32"/>
          <w:u w:val="none"/>
          <w:lang w:val="en-US" w:eastAsia="zh-CN" w:bidi="ar-SA"/>
        </w:rPr>
        <w:t>乌鲁木齐至臻至美义齿制作有限公司</w:t>
      </w:r>
    </w:p>
    <w:p>
      <w:pPr>
        <w:pStyle w:val="7"/>
        <w:keepNext w:val="0"/>
        <w:keepLines w:val="0"/>
        <w:pageBreakBefore w:val="0"/>
        <w:widowControl w:val="0"/>
        <w:wordWrap/>
        <w:topLinePunct w:val="0"/>
        <w:autoSpaceDE/>
        <w:autoSpaceDN/>
        <w:bidi w:val="0"/>
        <w:snapToGrid/>
        <w:spacing w:line="600" w:lineRule="exact"/>
        <w:textAlignment w:val="auto"/>
        <w:rPr>
          <w:rFonts w:hint="eastAsia" w:ascii="仿宋_GB2312" w:hAnsi="仿宋_GB2312" w:eastAsia="仿宋_GB2312" w:cs="仿宋_GB2312"/>
          <w:kern w:val="1"/>
          <w:sz w:val="32"/>
          <w:szCs w:val="32"/>
          <w:highlight w:val="none"/>
          <w:u w:val="none"/>
        </w:rPr>
      </w:pPr>
      <w:r>
        <w:rPr>
          <w:rFonts w:hint="eastAsia" w:ascii="仿宋_GB2312" w:hAnsi="仿宋_GB2312" w:eastAsia="仿宋_GB2312" w:cs="仿宋_GB2312"/>
          <w:kern w:val="1"/>
          <w:sz w:val="32"/>
          <w:szCs w:val="32"/>
          <w:highlight w:val="none"/>
          <w:u w:val="none"/>
        </w:rPr>
        <w:t>住所（住址）：</w:t>
      </w:r>
      <w:r>
        <w:rPr>
          <w:rFonts w:hint="eastAsia" w:ascii="Times New Roman" w:hAnsi="Times New Roman" w:eastAsia="仿宋_GB2312" w:cs="仿宋_GB2312"/>
          <w:kern w:val="2"/>
          <w:sz w:val="32"/>
          <w:szCs w:val="32"/>
          <w:u w:val="none"/>
          <w:lang w:val="en-US" w:eastAsia="zh-CN" w:bidi="ar-SA"/>
        </w:rPr>
        <w:t>新疆乌鲁木齐经济技术开发区(头屯河区)桐柏山街369号办公楼4栋3层</w:t>
      </w:r>
      <w:r>
        <w:rPr>
          <w:rFonts w:hint="eastAsia" w:ascii="仿宋_GB2312" w:hAnsi="仿宋_GB2312" w:eastAsia="仿宋_GB2312" w:cs="仿宋_GB2312"/>
          <w:kern w:val="1"/>
          <w:sz w:val="32"/>
          <w:szCs w:val="32"/>
          <w:highlight w:val="none"/>
          <w:u w:val="none"/>
        </w:rPr>
        <w:t xml:space="preserve">      </w:t>
      </w:r>
    </w:p>
    <w:p>
      <w:pPr>
        <w:pStyle w:val="7"/>
        <w:keepNext w:val="0"/>
        <w:keepLines w:val="0"/>
        <w:pageBreakBefore w:val="0"/>
        <w:widowControl w:val="0"/>
        <w:wordWrap/>
        <w:topLinePunct w:val="0"/>
        <w:autoSpaceDE/>
        <w:autoSpaceDN/>
        <w:bidi w:val="0"/>
        <w:snapToGrid/>
        <w:spacing w:line="60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统一社会信用代码</w:t>
      </w:r>
      <w:r>
        <w:rPr>
          <w:rFonts w:hint="eastAsia" w:ascii="仿宋_GB2312" w:hAnsi="仿宋_GB2312" w:eastAsia="仿宋_GB2312" w:cs="仿宋_GB2312"/>
          <w:color w:val="auto"/>
          <w:sz w:val="32"/>
          <w:szCs w:val="32"/>
          <w:u w:val="none"/>
          <w:lang w:eastAsia="zh-CN"/>
        </w:rPr>
        <w:t>：</w:t>
      </w:r>
      <w:r>
        <w:rPr>
          <w:rFonts w:hint="eastAsia" w:ascii="Times New Roman" w:hAnsi="Times New Roman" w:eastAsia="仿宋_GB2312" w:cs="仿宋_GB2312"/>
          <w:kern w:val="2"/>
          <w:sz w:val="32"/>
          <w:szCs w:val="32"/>
          <w:u w:val="none"/>
          <w:lang w:val="en-US" w:eastAsia="zh-CN" w:bidi="ar-SA"/>
        </w:rPr>
        <w:t>91650105MA77L3RMOJ</w:t>
      </w:r>
    </w:p>
    <w:p>
      <w:pPr>
        <w:pStyle w:val="7"/>
        <w:keepNext w:val="0"/>
        <w:keepLines w:val="0"/>
        <w:pageBreakBefore w:val="0"/>
        <w:widowControl w:val="0"/>
        <w:wordWrap/>
        <w:topLinePunct w:val="0"/>
        <w:autoSpaceDE/>
        <w:autoSpaceDN/>
        <w:bidi w:val="0"/>
        <w:snapToGrid/>
        <w:spacing w:line="600" w:lineRule="exact"/>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法定代表人及企业负责人：</w:t>
      </w:r>
      <w:r>
        <w:rPr>
          <w:rFonts w:hint="eastAsia" w:ascii="Times New Roman" w:hAnsi="Times New Roman" w:eastAsia="仿宋_GB2312" w:cs="仿宋_GB2312"/>
          <w:kern w:val="2"/>
          <w:sz w:val="32"/>
          <w:szCs w:val="32"/>
          <w:u w:val="none"/>
          <w:lang w:val="en-US" w:eastAsia="zh-CN" w:bidi="ar-SA"/>
        </w:rPr>
        <w:t>李**</w:t>
      </w:r>
    </w:p>
    <w:p>
      <w:pPr>
        <w:pStyle w:val="7"/>
        <w:keepNext w:val="0"/>
        <w:keepLines w:val="0"/>
        <w:pageBreakBefore w:val="0"/>
        <w:widowControl w:val="0"/>
        <w:wordWrap/>
        <w:topLinePunct w:val="0"/>
        <w:autoSpaceDE/>
        <w:autoSpaceDN/>
        <w:bidi w:val="0"/>
        <w:snapToGrid/>
        <w:spacing w:line="600" w:lineRule="exact"/>
        <w:textAlignment w:val="auto"/>
        <w:rPr>
          <w:rFonts w:hint="eastAsia" w:ascii="Times New Roman" w:hAnsi="Times New Roman" w:eastAsia="仿宋_GB2312" w:cs="仿宋_GB2312"/>
          <w:kern w:val="2"/>
          <w:sz w:val="32"/>
          <w:szCs w:val="32"/>
          <w:u w:val="none"/>
          <w:lang w:val="en-US" w:eastAsia="zh-CN" w:bidi="ar-SA"/>
        </w:rPr>
      </w:pPr>
      <w:r>
        <w:rPr>
          <w:rFonts w:hint="eastAsia" w:ascii="仿宋_GB2312" w:hAnsi="仿宋_GB2312" w:eastAsia="仿宋_GB2312" w:cs="仿宋_GB2312"/>
          <w:color w:val="auto"/>
          <w:sz w:val="32"/>
          <w:szCs w:val="32"/>
          <w:u w:val="none"/>
          <w:lang w:eastAsia="zh-CN"/>
        </w:rPr>
        <w:t>身份证号：</w:t>
      </w:r>
      <w:r>
        <w:rPr>
          <w:rFonts w:hint="eastAsia" w:ascii="Times New Roman" w:hAnsi="Times New Roman" w:eastAsia="仿宋_GB2312" w:cs="仿宋_GB2312"/>
          <w:kern w:val="2"/>
          <w:sz w:val="32"/>
          <w:szCs w:val="32"/>
          <w:u w:val="none"/>
          <w:lang w:val="en-US" w:eastAsia="zh-CN" w:bidi="ar-SA"/>
        </w:rPr>
        <w:t>41272719*******552</w:t>
      </w:r>
    </w:p>
    <w:p>
      <w:pPr>
        <w:pStyle w:val="7"/>
        <w:keepNext w:val="0"/>
        <w:keepLines w:val="0"/>
        <w:pageBreakBefore w:val="0"/>
        <w:widowControl w:val="0"/>
        <w:wordWrap/>
        <w:topLinePunct w:val="0"/>
        <w:autoSpaceDE/>
        <w:autoSpaceDN/>
        <w:bidi w:val="0"/>
        <w:snapToGrid/>
        <w:spacing w:line="60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sz w:val="32"/>
          <w:szCs w:val="32"/>
          <w:u w:val="none"/>
          <w:lang w:eastAsia="zh-CN"/>
        </w:rPr>
        <w:t>联系电话：</w:t>
      </w:r>
      <w:r>
        <w:rPr>
          <w:rFonts w:hint="eastAsia" w:ascii="Times New Roman" w:hAnsi="Times New Roman" w:eastAsia="仿宋_GB2312" w:cs="仿宋_GB2312"/>
          <w:kern w:val="2"/>
          <w:sz w:val="32"/>
          <w:szCs w:val="32"/>
          <w:u w:val="none"/>
          <w:lang w:val="en-US" w:eastAsia="zh-CN" w:bidi="ar-SA"/>
        </w:rPr>
        <w:t>181****0811</w:t>
      </w:r>
    </w:p>
    <w:p>
      <w:pPr>
        <w:pStyle w:val="7"/>
        <w:keepNext w:val="0"/>
        <w:keepLines w:val="0"/>
        <w:pageBreakBefore w:val="0"/>
        <w:widowControl w:val="0"/>
        <w:wordWrap/>
        <w:topLinePunct w:val="0"/>
        <w:autoSpaceDE/>
        <w:autoSpaceDN/>
        <w:bidi w:val="0"/>
        <w:snapToGrid/>
        <w:spacing w:line="60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kern w:val="1"/>
          <w:sz w:val="32"/>
          <w:szCs w:val="32"/>
          <w:u w:val="none"/>
        </w:rPr>
        <w:t xml:space="preserve">联系地址： </w:t>
      </w:r>
      <w:r>
        <w:rPr>
          <w:rFonts w:hint="eastAsia" w:ascii="Times New Roman" w:hAnsi="Times New Roman" w:eastAsia="仿宋_GB2312" w:cs="仿宋_GB2312"/>
          <w:kern w:val="2"/>
          <w:sz w:val="32"/>
          <w:szCs w:val="32"/>
          <w:u w:val="none"/>
          <w:lang w:val="en-US" w:eastAsia="zh-CN" w:bidi="ar-SA"/>
        </w:rPr>
        <w:t>新疆乌鲁木齐经济技术开发区(头屯河区)桐柏山街369号办公楼4栋3层</w:t>
      </w:r>
    </w:p>
    <w:p>
      <w:pPr>
        <w:pStyle w:val="9"/>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w:t>
      </w:r>
    </w:p>
    <w:p>
      <w:pPr>
        <w:pStyle w:val="9"/>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2021年8月11日，</w:t>
      </w:r>
      <w:r>
        <w:rPr>
          <w:rFonts w:hint="eastAsia" w:ascii="仿宋_GB2312" w:hAnsi="仿宋_GB2312" w:eastAsia="仿宋_GB2312" w:cs="仿宋_GB2312"/>
          <w:color w:val="auto"/>
          <w:kern w:val="2"/>
          <w:sz w:val="32"/>
          <w:szCs w:val="32"/>
          <w:u w:val="none"/>
          <w:lang w:val="en-US" w:eastAsia="zh-CN" w:bidi="ar-SA"/>
        </w:rPr>
        <w:t>自治区药品监督管理局执法人员</w:t>
      </w:r>
      <w:r>
        <w:rPr>
          <w:rFonts w:hint="eastAsia" w:ascii="仿宋_GB2312" w:hAnsi="仿宋_GB2312" w:eastAsia="仿宋_GB2312" w:cs="仿宋_GB2312"/>
          <w:kern w:val="2"/>
          <w:sz w:val="32"/>
          <w:szCs w:val="32"/>
          <w:u w:val="none"/>
          <w:lang w:val="en-US" w:eastAsia="zh-CN" w:bidi="ar-SA"/>
        </w:rPr>
        <w:t>对你公司进行现场检查时发现广东致然义齿制作有限公司、上海卓舰牙科技术有限公司产品结算表、维修卡、财务发票等可疑物品。经查，你公司分别于2020年11月9日取得《医疗器械产品注册证》、2020年12月30日取得《医疗器械生产许可证》。你公司于2020年3月至2022年5月期间，涉嫌未取得《医疗器械生产许可证》生产第二类医疗器械义齿。经我局向广东省药品监督管理局、上海市药品监督管理局发函核实，广东致然义齿制作有限公司、上海卓舰牙科技术有限公司均与乌鲁木齐至臻至美义齿制作有限公司不存在业务往来。2021年10月9日，我局对你公司涉嫌未取得《医疗器械生产许可证》生产第二类医疗器械义齿的行为立案调查。</w:t>
      </w:r>
    </w:p>
    <w:p>
      <w:pPr>
        <w:keepNext w:val="0"/>
        <w:keepLines w:val="0"/>
        <w:pageBreakBefore w:val="0"/>
        <w:tabs>
          <w:tab w:val="left" w:pos="3872"/>
          <w:tab w:val="left" w:pos="4280"/>
          <w:tab w:val="left" w:pos="5644"/>
        </w:tabs>
        <w:kinsoku/>
        <w:wordWrap/>
        <w:overflowPunct/>
        <w:topLinePunct w:val="0"/>
        <w:bidi w:val="0"/>
        <w:adjustRightInd w:val="0"/>
        <w:snapToGrid/>
        <w:spacing w:line="64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2022年1月6日，我局向自治区公安厅食品药品犯罪侦查局移送乌鲁木齐至臻至美义齿制作有限公司涉嫌非法经营医疗器械案件的违法线索。2023年1月8日，我局收到自治区公安厅食品药品犯罪侦查局案件移送函，经公安机关调查核实，你公司涉嫌非法经营医疗器械案件不构成刑事犯罪。2023年1月30日，我局对乌鲁木齐至臻至美义齿制作有限公司涉嫌未取得《医疗器械生产许可证》生产第二类医疗器械义齿的行为予以立案查处。</w:t>
      </w:r>
    </w:p>
    <w:p>
      <w:pPr>
        <w:keepNext w:val="0"/>
        <w:keepLines w:val="0"/>
        <w:pageBreakBefore w:val="0"/>
        <w:tabs>
          <w:tab w:val="left" w:pos="3872"/>
          <w:tab w:val="left" w:pos="4280"/>
          <w:tab w:val="left" w:pos="5644"/>
        </w:tabs>
        <w:kinsoku/>
        <w:wordWrap/>
        <w:overflowPunct/>
        <w:topLinePunct w:val="0"/>
        <w:bidi w:val="0"/>
        <w:adjustRightInd w:val="0"/>
        <w:snapToGrid/>
        <w:spacing w:line="64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spacing w:val="0"/>
          <w:sz w:val="32"/>
          <w:szCs w:val="32"/>
          <w:u w:val="none"/>
          <w:lang w:val="en-US" w:eastAsia="zh-CN"/>
        </w:rPr>
        <w:t>经查，</w:t>
      </w:r>
      <w:r>
        <w:rPr>
          <w:rFonts w:hint="eastAsia" w:ascii="仿宋_GB2312" w:hAnsi="仿宋_GB2312" w:eastAsia="仿宋_GB2312" w:cs="仿宋_GB2312"/>
          <w:kern w:val="2"/>
          <w:sz w:val="32"/>
          <w:szCs w:val="32"/>
          <w:u w:val="none"/>
          <w:lang w:val="en-US" w:eastAsia="zh-CN" w:bidi="ar-SA"/>
        </w:rPr>
        <w:t>你公司自2020年3月至2022年5月期间接受客户67份义齿订单，在未取得《医疗器械生产许可证》的情况下在生产车间生产第二类医疗器械义齿，向和田地区多个诊所销售义齿，已全部销售完毕，涉案义齿货值金额15655元，违法所得15655元。</w:t>
      </w:r>
    </w:p>
    <w:p>
      <w:pPr>
        <w:pStyle w:val="7"/>
        <w:keepNext w:val="0"/>
        <w:keepLines w:val="0"/>
        <w:pageBreakBefore w:val="0"/>
        <w:widowControl w:val="0"/>
        <w:wordWrap/>
        <w:topLinePunct w:val="0"/>
        <w:autoSpaceDE/>
        <w:autoSpaceDN/>
        <w:bidi w:val="0"/>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上述事实，主要有以下证据证明：</w:t>
      </w:r>
    </w:p>
    <w:p>
      <w:pPr>
        <w:tabs>
          <w:tab w:val="left" w:pos="3872"/>
          <w:tab w:val="left" w:pos="4280"/>
          <w:tab w:val="left" w:pos="5644"/>
        </w:tabs>
        <w:adjustRightInd w:val="0"/>
        <w:ind w:firstLine="640" w:firstLineChars="200"/>
        <w:rPr>
          <w:rFonts w:hint="eastAsia" w:ascii="Times New Roman" w:hAnsi="Times New Roman" w:eastAsia="仿宋_GB2312" w:cs="仿宋_GB2312"/>
          <w:kern w:val="2"/>
          <w:sz w:val="32"/>
          <w:szCs w:val="32"/>
          <w:u w:val="none"/>
          <w:lang w:val="en-US" w:eastAsia="zh-CN" w:bidi="ar-SA"/>
        </w:rPr>
      </w:pPr>
      <w:r>
        <w:rPr>
          <w:rFonts w:hint="eastAsia" w:ascii="Times New Roman" w:hAnsi="Times New Roman" w:eastAsia="仿宋_GB2312" w:cs="仿宋_GB2312"/>
          <w:kern w:val="2"/>
          <w:sz w:val="32"/>
          <w:szCs w:val="32"/>
          <w:u w:val="none"/>
          <w:lang w:val="en-US" w:eastAsia="zh-CN" w:bidi="ar-SA"/>
        </w:rPr>
        <w:t>1.乌鲁木齐至臻至美义齿制作有限公司的</w:t>
      </w:r>
      <w:r>
        <w:rPr>
          <w:rFonts w:hint="eastAsia" w:eastAsia="仿宋_GB2312" w:cs="仿宋_GB2312"/>
          <w:kern w:val="2"/>
          <w:sz w:val="32"/>
          <w:szCs w:val="32"/>
          <w:u w:val="none"/>
          <w:lang w:val="en-US" w:eastAsia="zh-CN" w:bidi="ar-SA"/>
        </w:rPr>
        <w:t>《医疗器械生产许可证》、</w:t>
      </w:r>
      <w:r>
        <w:rPr>
          <w:rFonts w:hint="eastAsia" w:ascii="Times New Roman" w:hAnsi="Times New Roman" w:eastAsia="仿宋_GB2312" w:cs="仿宋_GB2312"/>
          <w:kern w:val="2"/>
          <w:sz w:val="32"/>
          <w:szCs w:val="32"/>
          <w:u w:val="none"/>
          <w:lang w:val="en-US" w:eastAsia="zh-CN" w:bidi="ar-SA"/>
        </w:rPr>
        <w:t>《营业执照》复印件。</w:t>
      </w:r>
    </w:p>
    <w:p>
      <w:pPr>
        <w:tabs>
          <w:tab w:val="left" w:pos="3872"/>
          <w:tab w:val="left" w:pos="4280"/>
          <w:tab w:val="left" w:pos="5644"/>
        </w:tabs>
        <w:adjustRightInd w:val="0"/>
        <w:ind w:firstLine="640" w:firstLineChars="200"/>
        <w:rPr>
          <w:rFonts w:hint="eastAsia" w:ascii="Times New Roman" w:hAnsi="Times New Roman" w:eastAsia="仿宋_GB2312" w:cs="仿宋_GB2312"/>
          <w:kern w:val="2"/>
          <w:sz w:val="32"/>
          <w:szCs w:val="32"/>
          <w:u w:val="none"/>
          <w:lang w:val="en-US" w:eastAsia="zh-CN" w:bidi="ar-SA"/>
        </w:rPr>
      </w:pPr>
      <w:r>
        <w:rPr>
          <w:rFonts w:hint="eastAsia" w:ascii="Times New Roman" w:hAnsi="Times New Roman" w:eastAsia="仿宋_GB2312" w:cs="仿宋_GB2312"/>
          <w:kern w:val="2"/>
          <w:sz w:val="32"/>
          <w:szCs w:val="32"/>
          <w:u w:val="none"/>
          <w:lang w:val="en-US" w:eastAsia="zh-CN" w:bidi="ar-SA"/>
        </w:rPr>
        <w:t>2.乌鲁木齐至臻至美义齿制作有限公司提供的身份证复印件、授权委托书以及委托代理人身份证复印件。</w:t>
      </w:r>
    </w:p>
    <w:p>
      <w:pPr>
        <w:tabs>
          <w:tab w:val="left" w:pos="3872"/>
          <w:tab w:val="left" w:pos="4280"/>
          <w:tab w:val="left" w:pos="5644"/>
        </w:tabs>
        <w:adjustRightInd w:val="0"/>
        <w:ind w:firstLine="640" w:firstLineChars="200"/>
        <w:rPr>
          <w:rFonts w:hint="eastAsia" w:ascii="Times New Roman" w:hAnsi="Times New Roman" w:eastAsia="仿宋_GB2312" w:cs="仿宋_GB2312"/>
          <w:kern w:val="2"/>
          <w:sz w:val="32"/>
          <w:szCs w:val="32"/>
          <w:u w:val="none"/>
          <w:lang w:val="en-US" w:eastAsia="zh-CN" w:bidi="ar-SA"/>
        </w:rPr>
      </w:pPr>
      <w:r>
        <w:rPr>
          <w:rFonts w:hint="eastAsia" w:ascii="Times New Roman" w:hAnsi="Times New Roman" w:eastAsia="仿宋_GB2312" w:cs="仿宋_GB2312"/>
          <w:kern w:val="2"/>
          <w:sz w:val="32"/>
          <w:szCs w:val="32"/>
          <w:u w:val="none"/>
          <w:lang w:val="en-US" w:eastAsia="zh-CN" w:bidi="ar-SA"/>
        </w:rPr>
        <w:t>3.举报信、案件移送书、立案告知书。</w:t>
      </w:r>
    </w:p>
    <w:p>
      <w:pPr>
        <w:tabs>
          <w:tab w:val="left" w:pos="3872"/>
          <w:tab w:val="left" w:pos="4280"/>
          <w:tab w:val="left" w:pos="5644"/>
        </w:tabs>
        <w:adjustRightInd w:val="0"/>
        <w:ind w:firstLine="640" w:firstLineChars="200"/>
        <w:rPr>
          <w:rFonts w:hint="eastAsia" w:ascii="Times New Roman" w:hAnsi="Times New Roman" w:eastAsia="仿宋_GB2312" w:cs="仿宋_GB2312"/>
          <w:kern w:val="2"/>
          <w:sz w:val="32"/>
          <w:szCs w:val="32"/>
          <w:u w:val="none"/>
          <w:lang w:val="en-US" w:eastAsia="zh-CN" w:bidi="ar-SA"/>
        </w:rPr>
      </w:pPr>
      <w:r>
        <w:rPr>
          <w:rFonts w:hint="eastAsia" w:ascii="Times New Roman" w:hAnsi="Times New Roman" w:eastAsia="仿宋_GB2312" w:cs="仿宋_GB2312"/>
          <w:kern w:val="2"/>
          <w:sz w:val="32"/>
          <w:szCs w:val="32"/>
          <w:u w:val="none"/>
          <w:lang w:val="en-US" w:eastAsia="zh-CN" w:bidi="ar-SA"/>
        </w:rPr>
        <w:t>4.对李海洋的《询问笔录》。</w:t>
      </w:r>
    </w:p>
    <w:p>
      <w:pPr>
        <w:tabs>
          <w:tab w:val="left" w:pos="3872"/>
          <w:tab w:val="left" w:pos="4280"/>
          <w:tab w:val="left" w:pos="5644"/>
        </w:tabs>
        <w:adjustRightInd w:val="0"/>
        <w:ind w:firstLine="640" w:firstLineChars="200"/>
        <w:rPr>
          <w:rFonts w:hint="eastAsia" w:ascii="Times New Roman" w:hAnsi="Times New Roman" w:eastAsia="仿宋_GB2312" w:cs="仿宋_GB2312"/>
          <w:kern w:val="2"/>
          <w:sz w:val="32"/>
          <w:szCs w:val="32"/>
          <w:u w:val="none"/>
          <w:lang w:val="en-US" w:eastAsia="zh-CN" w:bidi="ar-SA"/>
        </w:rPr>
      </w:pPr>
      <w:r>
        <w:rPr>
          <w:rFonts w:hint="eastAsia" w:ascii="Times New Roman" w:hAnsi="Times New Roman" w:eastAsia="仿宋_GB2312" w:cs="仿宋_GB2312"/>
          <w:kern w:val="2"/>
          <w:sz w:val="32"/>
          <w:szCs w:val="32"/>
          <w:u w:val="none"/>
          <w:lang w:val="en-US" w:eastAsia="zh-CN" w:bidi="ar-SA"/>
        </w:rPr>
        <w:t>5.案件移送书。</w:t>
      </w:r>
    </w:p>
    <w:p>
      <w:pPr>
        <w:tabs>
          <w:tab w:val="left" w:pos="3872"/>
          <w:tab w:val="left" w:pos="4280"/>
          <w:tab w:val="left" w:pos="5644"/>
        </w:tabs>
        <w:adjustRightInd w:val="0"/>
        <w:ind w:firstLine="640" w:firstLineChars="200"/>
        <w:rPr>
          <w:rFonts w:hint="eastAsia" w:ascii="Times New Roman" w:hAnsi="Times New Roman" w:eastAsia="仿宋_GB2312" w:cs="仿宋_GB2312"/>
          <w:kern w:val="2"/>
          <w:sz w:val="32"/>
          <w:szCs w:val="32"/>
          <w:u w:val="none"/>
          <w:lang w:val="en-US" w:eastAsia="zh-CN" w:bidi="ar-SA"/>
        </w:rPr>
      </w:pPr>
      <w:r>
        <w:rPr>
          <w:rFonts w:hint="eastAsia" w:ascii="Times New Roman" w:hAnsi="Times New Roman" w:eastAsia="仿宋_GB2312" w:cs="仿宋_GB2312"/>
          <w:kern w:val="2"/>
          <w:sz w:val="32"/>
          <w:szCs w:val="32"/>
          <w:u w:val="none"/>
          <w:lang w:val="en-US" w:eastAsia="zh-CN" w:bidi="ar-SA"/>
        </w:rPr>
        <w:t>6.自治区公安厅食品药品犯罪侦查局的复函。</w:t>
      </w:r>
    </w:p>
    <w:p>
      <w:pPr>
        <w:tabs>
          <w:tab w:val="left" w:pos="3872"/>
          <w:tab w:val="left" w:pos="4280"/>
          <w:tab w:val="left" w:pos="5644"/>
        </w:tabs>
        <w:adjustRightInd w:val="0"/>
        <w:ind w:firstLine="640" w:firstLineChars="200"/>
        <w:rPr>
          <w:rFonts w:hint="eastAsia" w:ascii="Times New Roman" w:hAnsi="Times New Roman" w:eastAsia="仿宋_GB2312" w:cs="仿宋_GB2312"/>
          <w:kern w:val="2"/>
          <w:sz w:val="32"/>
          <w:szCs w:val="32"/>
          <w:u w:val="none"/>
          <w:lang w:val="en-US" w:eastAsia="zh-CN" w:bidi="ar-SA"/>
        </w:rPr>
      </w:pPr>
      <w:r>
        <w:rPr>
          <w:rFonts w:hint="eastAsia" w:ascii="Times New Roman" w:hAnsi="Times New Roman" w:eastAsia="仿宋_GB2312" w:cs="仿宋_GB2312"/>
          <w:kern w:val="2"/>
          <w:sz w:val="32"/>
          <w:szCs w:val="32"/>
          <w:u w:val="none"/>
          <w:lang w:val="en-US" w:eastAsia="zh-CN" w:bidi="ar-SA"/>
        </w:rPr>
        <w:t>7.乌鲁木齐至臻至美义齿制作有限公司结算表。</w:t>
      </w:r>
    </w:p>
    <w:p>
      <w:pPr>
        <w:keepNext w:val="0"/>
        <w:keepLines w:val="0"/>
        <w:pageBreakBefore w:val="0"/>
        <w:widowControl w:val="0"/>
        <w:wordWrap/>
        <w:topLinePunct w:val="0"/>
        <w:bidi w:val="0"/>
        <w:spacing w:line="600" w:lineRule="exact"/>
        <w:ind w:firstLine="640" w:firstLineChars="200"/>
        <w:textAlignment w:val="auto"/>
        <w:rPr>
          <w:rFonts w:hint="eastAsia" w:eastAsia="仿宋_GB2312" w:cs="仿宋_GB2312"/>
          <w:kern w:val="2"/>
          <w:sz w:val="32"/>
          <w:szCs w:val="32"/>
          <w:u w:val="none"/>
          <w:lang w:val="en-US" w:eastAsia="zh-CN" w:bidi="ar-SA"/>
        </w:rPr>
      </w:pPr>
      <w:r>
        <w:rPr>
          <w:rFonts w:hint="eastAsia" w:ascii="Times New Roman" w:hAnsi="Times New Roman" w:eastAsia="仿宋_GB2312" w:cs="仿宋_GB2312"/>
          <w:kern w:val="2"/>
          <w:sz w:val="32"/>
          <w:szCs w:val="32"/>
          <w:u w:val="none"/>
          <w:lang w:val="en-US" w:eastAsia="zh-CN" w:bidi="ar-SA"/>
        </w:rPr>
        <w:t>8.广</w:t>
      </w:r>
      <w:r>
        <w:rPr>
          <w:rFonts w:hint="eastAsia" w:eastAsia="仿宋_GB2312" w:cs="仿宋_GB2312"/>
          <w:kern w:val="2"/>
          <w:sz w:val="32"/>
          <w:szCs w:val="32"/>
          <w:u w:val="none"/>
          <w:lang w:val="en-US" w:eastAsia="zh-CN" w:bidi="ar-SA"/>
        </w:rPr>
        <w:t>东省药监局、上海市药监局的复函。</w:t>
      </w:r>
    </w:p>
    <w:p>
      <w:pPr>
        <w:keepNext w:val="0"/>
        <w:keepLines w:val="0"/>
        <w:pageBreakBefore w:val="0"/>
        <w:kinsoku/>
        <w:wordWrap/>
        <w:overflowPunct/>
        <w:topLinePunct w:val="0"/>
        <w:bidi w:val="0"/>
        <w:snapToGrid/>
        <w:spacing w:line="64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eastAsia="zh-CN"/>
        </w:rPr>
        <w:t>本局认为，你</w:t>
      </w:r>
      <w:r>
        <w:rPr>
          <w:rFonts w:hint="eastAsia" w:ascii="仿宋_GB2312" w:hAnsi="仿宋_GB2312" w:eastAsia="仿宋_GB2312" w:cs="仿宋_GB2312"/>
          <w:kern w:val="2"/>
          <w:sz w:val="32"/>
          <w:szCs w:val="32"/>
          <w:u w:val="none"/>
          <w:lang w:val="en-US" w:eastAsia="zh-CN" w:bidi="ar-SA"/>
        </w:rPr>
        <w:t>公司未取得《医疗器械生产许可证》生产第二类医疗器械义齿的行为，违反了《医疗器械监督管理条例》（2017版）第二十二条第一款：“从事第二类、第三类医疗器械生产的，生产企业应当向所在地省、自治区、直辖市人民政府食品药品监督管理部门申请生产许可并提交其符合本条例第二十条规定条件的证明资料以及所生产医疗器械的注册证。”的规定。</w:t>
      </w:r>
      <w:r>
        <w:rPr>
          <w:rFonts w:hint="eastAsia" w:ascii="仿宋_GB2312" w:hAnsi="仿宋_GB2312" w:eastAsia="仿宋_GB2312" w:cs="仿宋_GB2312"/>
          <w:kern w:val="1"/>
          <w:sz w:val="32"/>
          <w:szCs w:val="32"/>
          <w:u w:val="none"/>
          <w:lang w:val="en-US" w:eastAsia="zh-CN" w:bidi="ar-SA"/>
        </w:rPr>
        <w:t>应当</w:t>
      </w:r>
      <w:r>
        <w:rPr>
          <w:rFonts w:hint="eastAsia" w:ascii="仿宋_GB2312" w:hAnsi="仿宋_GB2312" w:eastAsia="仿宋_GB2312" w:cs="仿宋_GB2312"/>
          <w:kern w:val="2"/>
          <w:sz w:val="32"/>
          <w:szCs w:val="32"/>
          <w:u w:val="none"/>
          <w:lang w:val="en-US" w:eastAsia="zh-CN" w:bidi="ar-SA"/>
        </w:rPr>
        <w:t>依据《医疗器械监督管理条例》（2017版）第六十三条第一款第（二）项：“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二）未经许可从事第二类、第三类医疗器械生产活动的；”的规定对你公司予以处罚。</w:t>
      </w:r>
    </w:p>
    <w:p>
      <w:pPr>
        <w:keepNext w:val="0"/>
        <w:keepLines w:val="0"/>
        <w:pageBreakBefore w:val="0"/>
        <w:widowControl w:val="0"/>
        <w:wordWrap/>
        <w:topLinePunct w:val="0"/>
        <w:bidi w:val="0"/>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sz w:val="32"/>
          <w:szCs w:val="32"/>
          <w:u w:val="none"/>
          <w:lang w:eastAsia="zh-CN"/>
        </w:rPr>
        <w:t>你公司</w:t>
      </w:r>
      <w:r>
        <w:rPr>
          <w:rFonts w:hint="eastAsia" w:ascii="仿宋_GB2312" w:hAnsi="仿宋_GB2312" w:eastAsia="仿宋_GB2312" w:cs="仿宋_GB2312"/>
          <w:b w:val="0"/>
          <w:bCs/>
          <w:sz w:val="32"/>
          <w:szCs w:val="32"/>
          <w:u w:val="none"/>
          <w:lang w:val="en-US" w:eastAsia="zh-CN"/>
        </w:rPr>
        <w:t>积极配合调查，</w:t>
      </w:r>
      <w:r>
        <w:rPr>
          <w:rFonts w:hint="eastAsia" w:ascii="仿宋_GB2312" w:hAnsi="仿宋_GB2312" w:eastAsia="仿宋_GB2312" w:cs="仿宋_GB2312"/>
          <w:kern w:val="2"/>
          <w:sz w:val="32"/>
          <w:szCs w:val="32"/>
          <w:u w:val="none"/>
          <w:lang w:val="en-US" w:eastAsia="zh-CN" w:bidi="ar-SA"/>
        </w:rPr>
        <w:t>配合行政机关查处违法行为并主动举报相关违法线索有立功表现</w:t>
      </w:r>
      <w:r>
        <w:rPr>
          <w:rFonts w:hint="eastAsia" w:ascii="仿宋_GB2312" w:hAnsi="仿宋_GB2312" w:eastAsia="仿宋_GB2312" w:cs="仿宋_GB2312"/>
          <w:b w:val="0"/>
          <w:bCs/>
          <w:sz w:val="32"/>
          <w:szCs w:val="32"/>
          <w:u w:val="none"/>
          <w:lang w:val="en-US" w:eastAsia="zh-CN"/>
        </w:rPr>
        <w:t>，符合</w:t>
      </w:r>
      <w:r>
        <w:rPr>
          <w:rFonts w:hint="eastAsia" w:ascii="仿宋_GB2312" w:hAnsi="仿宋_GB2312" w:eastAsia="仿宋_GB2312" w:cs="仿宋_GB2312"/>
          <w:kern w:val="2"/>
          <w:sz w:val="32"/>
          <w:szCs w:val="32"/>
          <w:u w:val="none"/>
          <w:lang w:val="en-US" w:eastAsia="zh-CN" w:bidi="ar-SA"/>
        </w:rPr>
        <w:t>《中华人民共和国行政处罚法》第三十二条第（四项）的：“配合行政机关查处违法行为有立功表现”的规定，决定对你公司减轻处罚。</w:t>
      </w:r>
      <w:r>
        <w:rPr>
          <w:rFonts w:hint="eastAsia" w:ascii="仿宋_GB2312" w:hAnsi="仿宋_GB2312" w:eastAsia="仿宋_GB2312" w:cs="仿宋_GB2312"/>
          <w:b w:val="0"/>
          <w:bCs/>
          <w:sz w:val="32"/>
          <w:szCs w:val="32"/>
          <w:u w:val="none"/>
          <w:lang w:val="en-US" w:eastAsia="zh-CN"/>
        </w:rPr>
        <w:t>2023年3月22日，本局</w:t>
      </w:r>
      <w:r>
        <w:rPr>
          <w:rFonts w:hint="eastAsia" w:ascii="仿宋_GB2312" w:hAnsi="仿宋_GB2312" w:eastAsia="仿宋_GB2312" w:cs="仿宋_GB2312"/>
          <w:spacing w:val="0"/>
          <w:sz w:val="32"/>
          <w:szCs w:val="32"/>
          <w:u w:val="none"/>
          <w:lang w:val="en-US" w:eastAsia="zh-CN"/>
        </w:rPr>
        <w:t>对</w:t>
      </w:r>
      <w:r>
        <w:rPr>
          <w:rFonts w:hint="eastAsia" w:ascii="仿宋_GB2312" w:hAnsi="仿宋_GB2312" w:eastAsia="仿宋_GB2312" w:cs="仿宋_GB2312"/>
          <w:bCs/>
          <w:spacing w:val="0"/>
          <w:sz w:val="32"/>
          <w:szCs w:val="32"/>
          <w:u w:val="none"/>
          <w:lang w:eastAsia="zh-CN"/>
        </w:rPr>
        <w:t>你公司</w:t>
      </w:r>
      <w:r>
        <w:rPr>
          <w:rFonts w:hint="eastAsia" w:ascii="仿宋_GB2312" w:hAnsi="仿宋_GB2312" w:eastAsia="仿宋_GB2312" w:cs="仿宋_GB2312"/>
          <w:spacing w:val="0"/>
          <w:sz w:val="32"/>
          <w:szCs w:val="32"/>
          <w:u w:val="none"/>
          <w:lang w:val="en-US" w:eastAsia="zh-CN"/>
        </w:rPr>
        <w:t>送达了《行</w:t>
      </w:r>
      <w:r>
        <w:rPr>
          <w:rFonts w:hint="eastAsia" w:ascii="仿宋_GB2312" w:hAnsi="仿宋_GB2312" w:eastAsia="仿宋_GB2312" w:cs="仿宋_GB2312"/>
          <w:bCs/>
          <w:color w:val="000000"/>
          <w:sz w:val="32"/>
          <w:szCs w:val="32"/>
          <w:u w:val="none"/>
          <w:lang w:val="en-US" w:eastAsia="zh-CN"/>
        </w:rPr>
        <w:t>政处罚告知</w:t>
      </w:r>
      <w:r>
        <w:rPr>
          <w:rFonts w:hint="eastAsia" w:ascii="仿宋_GB2312" w:hAnsi="仿宋_GB2312" w:eastAsia="仿宋_GB2312" w:cs="仿宋_GB2312"/>
          <w:spacing w:val="0"/>
          <w:sz w:val="32"/>
          <w:szCs w:val="32"/>
          <w:u w:val="none"/>
          <w:lang w:val="en-US" w:eastAsia="zh-CN"/>
        </w:rPr>
        <w:t>书》</w:t>
      </w:r>
      <w:r>
        <w:rPr>
          <w:rFonts w:hint="eastAsia" w:ascii="仿宋_GB2312" w:hAnsi="仿宋_GB2312" w:eastAsia="仿宋_GB2312" w:cs="仿宋_GB2312"/>
          <w:color w:val="auto"/>
          <w:kern w:val="2"/>
          <w:sz w:val="32"/>
          <w:szCs w:val="32"/>
          <w:u w:val="none"/>
          <w:lang w:val="en-US" w:eastAsia="zh-CN" w:bidi="ar-SA"/>
        </w:rPr>
        <w:t>（新药监械</w:t>
      </w:r>
      <w:r>
        <w:rPr>
          <w:rFonts w:hint="eastAsia" w:ascii="仿宋_GB2312" w:hAnsi="仿宋_GB2312" w:eastAsia="仿宋_GB2312" w:cs="仿宋_GB2312"/>
          <w:bCs/>
          <w:color w:val="auto"/>
          <w:kern w:val="2"/>
          <w:sz w:val="32"/>
          <w:szCs w:val="32"/>
          <w:u w:val="none"/>
          <w:lang w:val="en-US" w:eastAsia="zh-CN" w:bidi="ar-SA"/>
        </w:rPr>
        <w:t>罚告</w:t>
      </w:r>
      <w:r>
        <w:rPr>
          <w:rFonts w:hint="eastAsia" w:ascii="仿宋_GB2312" w:hAnsi="仿宋_GB2312" w:eastAsia="仿宋_GB2312" w:cs="仿宋_GB2312"/>
          <w:color w:val="auto"/>
          <w:kern w:val="2"/>
          <w:sz w:val="32"/>
          <w:szCs w:val="32"/>
          <w:u w:val="none"/>
          <w:lang w:val="en-US" w:eastAsia="zh-CN" w:bidi="ar-SA"/>
        </w:rPr>
        <w:t>〔2023〕4号）</w:t>
      </w:r>
      <w:r>
        <w:rPr>
          <w:rFonts w:hint="eastAsia" w:ascii="仿宋_GB2312" w:hAnsi="仿宋_GB2312" w:eastAsia="仿宋_GB2312" w:cs="仿宋_GB2312"/>
          <w:bCs/>
          <w:color w:val="000000"/>
          <w:sz w:val="32"/>
          <w:szCs w:val="32"/>
          <w:u w:val="none"/>
          <w:lang w:val="en-US" w:eastAsia="zh-CN"/>
        </w:rPr>
        <w:t>，</w:t>
      </w:r>
      <w:r>
        <w:rPr>
          <w:rFonts w:hint="eastAsia" w:ascii="仿宋_GB2312" w:hAnsi="仿宋_GB2312" w:eastAsia="仿宋_GB2312" w:cs="仿宋_GB2312"/>
          <w:color w:val="000000"/>
          <w:kern w:val="0"/>
          <w:sz w:val="32"/>
          <w:szCs w:val="32"/>
          <w:u w:val="none"/>
          <w:lang w:val="en-US" w:eastAsia="zh-CN" w:bidi="ar-SA"/>
        </w:rPr>
        <w:t>依法向你公司告知了拟处罚的事实、理由、依据，并告知你公司享有陈述、申辩的权利，你公司在规定时间内未提出</w:t>
      </w:r>
      <w:r>
        <w:rPr>
          <w:rFonts w:hint="eastAsia" w:ascii="仿宋_GB2312" w:hAnsi="仿宋_GB2312" w:eastAsia="仿宋_GB2312" w:cs="仿宋_GB2312"/>
          <w:sz w:val="32"/>
          <w:szCs w:val="32"/>
          <w:u w:val="none"/>
          <w:lang w:val="en-US" w:eastAsia="zh-CN"/>
        </w:rPr>
        <w:t>陈述、申辩的要求。</w:t>
      </w:r>
    </w:p>
    <w:p>
      <w:pPr>
        <w:keepNext w:val="0"/>
        <w:keepLines w:val="0"/>
        <w:pageBreakBefore w:val="0"/>
        <w:widowControl w:val="0"/>
        <w:kinsoku/>
        <w:wordWrap/>
        <w:overflowPunct/>
        <w:topLinePunct w:val="0"/>
        <w:autoSpaceDE w:val="0"/>
        <w:autoSpaceDN w:val="0"/>
        <w:bidi w:val="0"/>
        <w:snapToGrid w:val="0"/>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color w:val="000000"/>
          <w:spacing w:val="0"/>
          <w:sz w:val="32"/>
          <w:szCs w:val="32"/>
          <w:u w:val="none"/>
          <w:lang w:eastAsia="zh-CN"/>
        </w:rPr>
        <w:t>综上：你公司</w:t>
      </w:r>
      <w:r>
        <w:rPr>
          <w:rFonts w:hint="eastAsia" w:ascii="仿宋_GB2312" w:hAnsi="仿宋_GB2312" w:eastAsia="仿宋_GB2312" w:cs="仿宋_GB2312"/>
          <w:kern w:val="2"/>
          <w:sz w:val="32"/>
          <w:szCs w:val="32"/>
          <w:u w:val="none"/>
          <w:lang w:val="en-US" w:eastAsia="zh-CN" w:bidi="ar-SA"/>
        </w:rPr>
        <w:t>未取得《医疗器械生产许可证》生产第二类医疗器械义齿的行为</w:t>
      </w:r>
      <w:r>
        <w:rPr>
          <w:rFonts w:hint="eastAsia" w:ascii="仿宋_GB2312" w:hAnsi="仿宋_GB2312" w:eastAsia="仿宋_GB2312" w:cs="仿宋_GB2312"/>
          <w:bCs/>
          <w:color w:val="000000"/>
          <w:sz w:val="32"/>
          <w:szCs w:val="32"/>
          <w:u w:val="none"/>
          <w:lang w:val="en-US" w:eastAsia="zh-CN"/>
        </w:rPr>
        <w:t>违反了</w:t>
      </w:r>
      <w:r>
        <w:rPr>
          <w:rFonts w:hint="eastAsia" w:ascii="仿宋_GB2312" w:hAnsi="仿宋_GB2312" w:eastAsia="仿宋_GB2312" w:cs="仿宋_GB2312"/>
          <w:kern w:val="2"/>
          <w:sz w:val="32"/>
          <w:szCs w:val="32"/>
          <w:u w:val="none"/>
          <w:lang w:val="en-US" w:eastAsia="zh-CN" w:bidi="ar-SA"/>
        </w:rPr>
        <w:t>《医疗器械监督管理条例》（2017版）第二十二条第一款</w:t>
      </w:r>
      <w:r>
        <w:rPr>
          <w:rFonts w:hint="eastAsia" w:ascii="仿宋_GB2312" w:hAnsi="仿宋_GB2312" w:eastAsia="仿宋_GB2312" w:cs="仿宋_GB2312"/>
          <w:bCs/>
          <w:color w:val="000000"/>
          <w:sz w:val="32"/>
          <w:szCs w:val="32"/>
          <w:u w:val="none"/>
          <w:lang w:val="en-US" w:eastAsia="zh-CN"/>
        </w:rPr>
        <w:t>的规定，</w:t>
      </w:r>
      <w:r>
        <w:rPr>
          <w:rFonts w:hint="eastAsia" w:ascii="仿宋_GB2312" w:hAnsi="仿宋_GB2312" w:eastAsia="仿宋_GB2312" w:cs="仿宋_GB2312"/>
          <w:sz w:val="32"/>
          <w:szCs w:val="32"/>
          <w:u w:val="none"/>
        </w:rPr>
        <w:t>依据</w:t>
      </w:r>
      <w:r>
        <w:rPr>
          <w:rFonts w:hint="eastAsia" w:ascii="仿宋_GB2312" w:hAnsi="仿宋_GB2312" w:eastAsia="仿宋_GB2312" w:cs="仿宋_GB2312"/>
          <w:kern w:val="2"/>
          <w:sz w:val="32"/>
          <w:szCs w:val="32"/>
          <w:u w:val="none"/>
          <w:lang w:val="en-US" w:eastAsia="zh-CN" w:bidi="ar-SA"/>
        </w:rPr>
        <w:t>《医疗器械监督管理条例》（2017版）第六十三条第一款第（二）项</w:t>
      </w:r>
      <w:r>
        <w:rPr>
          <w:rFonts w:hint="eastAsia" w:ascii="仿宋_GB2312" w:hAnsi="仿宋_GB2312" w:eastAsia="仿宋_GB2312" w:cs="仿宋_GB2312"/>
          <w:sz w:val="32"/>
          <w:szCs w:val="32"/>
          <w:u w:val="none"/>
        </w:rPr>
        <w:t>的规定</w:t>
      </w:r>
      <w:r>
        <w:rPr>
          <w:rFonts w:hint="eastAsia" w:ascii="仿宋_GB2312" w:hAnsi="仿宋_GB2312" w:eastAsia="仿宋_GB2312" w:cs="仿宋_GB2312"/>
          <w:sz w:val="32"/>
          <w:szCs w:val="32"/>
          <w:u w:val="none"/>
          <w:lang w:eastAsia="zh-CN"/>
        </w:rPr>
        <w:t>，本局责令你公司立即改正违法行为，并决定给予你公司以下行政处罚：</w:t>
      </w:r>
    </w:p>
    <w:p>
      <w:pPr>
        <w:keepNext w:val="0"/>
        <w:keepLines w:val="0"/>
        <w:pageBreakBefore w:val="0"/>
        <w:tabs>
          <w:tab w:val="left" w:pos="3872"/>
          <w:tab w:val="left" w:pos="4280"/>
          <w:tab w:val="left" w:pos="5644"/>
        </w:tabs>
        <w:kinsoku/>
        <w:wordWrap/>
        <w:overflowPunct/>
        <w:topLinePunct w:val="0"/>
        <w:bidi w:val="0"/>
        <w:adjustRightInd w:val="0"/>
        <w:snapToGrid/>
        <w:spacing w:line="64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1.没收违法所得壹万伍仟陆佰伍拾伍元（15655元）；</w:t>
      </w:r>
    </w:p>
    <w:p>
      <w:pPr>
        <w:keepNext w:val="0"/>
        <w:keepLines w:val="0"/>
        <w:pageBreakBefore w:val="0"/>
        <w:tabs>
          <w:tab w:val="left" w:pos="3872"/>
          <w:tab w:val="left" w:pos="4280"/>
          <w:tab w:val="left" w:pos="5644"/>
        </w:tabs>
        <w:kinsoku/>
        <w:wordWrap/>
        <w:overflowPunct/>
        <w:topLinePunct w:val="0"/>
        <w:bidi w:val="0"/>
        <w:adjustRightInd w:val="0"/>
        <w:snapToGrid/>
        <w:spacing w:line="64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2.处以货值金额1倍的罚款壹万伍仟陆佰伍拾伍元（15655元）。</w:t>
      </w:r>
    </w:p>
    <w:p>
      <w:pPr>
        <w:pStyle w:val="2"/>
        <w:keepNext w:val="0"/>
        <w:keepLines w:val="0"/>
        <w:pageBreakBefore w:val="0"/>
        <w:kinsoku/>
        <w:wordWrap/>
        <w:overflowPunct/>
        <w:topLinePunct w:val="0"/>
        <w:bidi w:val="0"/>
        <w:snapToGrid/>
        <w:spacing w:line="640" w:lineRule="exact"/>
        <w:ind w:left="0" w:leftChars="0" w:firstLine="0" w:firstLineChars="0"/>
        <w:textAlignment w:val="auto"/>
        <w:rPr>
          <w:rFonts w:hint="eastAsia"/>
          <w:sz w:val="32"/>
          <w:szCs w:val="32"/>
          <w:lang w:val="en-US" w:eastAsia="zh-CN"/>
        </w:rPr>
      </w:pPr>
      <w:r>
        <w:rPr>
          <w:rFonts w:hint="eastAsia" w:ascii="仿宋_GB2312" w:hAnsi="仿宋_GB2312" w:eastAsia="仿宋_GB2312" w:cs="仿宋_GB2312"/>
          <w:kern w:val="2"/>
          <w:sz w:val="32"/>
          <w:szCs w:val="32"/>
          <w:u w:val="none"/>
          <w:lang w:val="en-US" w:eastAsia="zh-CN" w:bidi="ar-SA"/>
        </w:rPr>
        <w:t xml:space="preserve">    罚没款合计：叁万壹仟叁佰壹拾元（31310元）。</w:t>
      </w:r>
    </w:p>
    <w:p>
      <w:pPr>
        <w:pStyle w:val="3"/>
        <w:keepNext w:val="0"/>
        <w:keepLines w:val="0"/>
        <w:pageBreakBefore w:val="0"/>
        <w:widowControl w:val="0"/>
        <w:tabs>
          <w:tab w:val="left" w:pos="8204"/>
        </w:tabs>
        <w:kinsoku w:val="0"/>
        <w:wordWrap/>
        <w:overflowPunct w:val="0"/>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color w:val="231F20"/>
          <w:sz w:val="32"/>
          <w:szCs w:val="32"/>
          <w:u w:val="none"/>
          <w:lang w:val="en-US" w:eastAsia="zh-CN"/>
        </w:rPr>
      </w:pPr>
      <w:r>
        <w:rPr>
          <w:rFonts w:hint="eastAsia" w:ascii="仿宋_GB2312" w:hAnsi="仿宋_GB2312" w:eastAsia="仿宋_GB2312" w:cs="仿宋_GB2312"/>
          <w:color w:val="231F20"/>
          <w:sz w:val="32"/>
          <w:szCs w:val="32"/>
          <w:u w:val="none"/>
          <w:lang w:eastAsia="zh-CN"/>
        </w:rPr>
        <w:t>请于收到本处罚决定书之日起十五日内将罚款交至工商银行乌鲁木齐明德路支行，地址：乌鲁木齐市天山区明德路</w:t>
      </w:r>
      <w:r>
        <w:rPr>
          <w:rFonts w:hint="eastAsia" w:ascii="仿宋_GB2312" w:hAnsi="仿宋_GB2312" w:eastAsia="仿宋_GB2312" w:cs="仿宋_GB2312"/>
          <w:color w:val="231F20"/>
          <w:sz w:val="32"/>
          <w:szCs w:val="32"/>
          <w:u w:val="none"/>
          <w:lang w:val="en-US" w:eastAsia="zh-CN"/>
        </w:rPr>
        <w:t>1号，户名：新疆维吾尔自治区财政厅国库处，账号：3002010109024911123，开户行及行号：中国工商银行股份有限公司乌鲁木齐明德路支行、102881001013。逾期不缴纳罚款的，依据《中华人民共和国行政处罚法》第七十二条</w:t>
      </w:r>
      <w:r>
        <w:rPr>
          <w:rFonts w:hint="eastAsia" w:ascii="仿宋_GB2312" w:hAnsi="仿宋_GB2312" w:eastAsia="仿宋_GB2312" w:cs="仿宋_GB2312"/>
          <w:sz w:val="32"/>
          <w:szCs w:val="32"/>
          <w:u w:val="none"/>
        </w:rPr>
        <w:t>第一款第一项</w:t>
      </w:r>
      <w:r>
        <w:rPr>
          <w:rFonts w:hint="eastAsia" w:ascii="仿宋_GB2312" w:hAnsi="仿宋_GB2312" w:eastAsia="仿宋_GB2312" w:cs="仿宋_GB2312"/>
          <w:color w:val="231F20"/>
          <w:sz w:val="32"/>
          <w:szCs w:val="32"/>
          <w:u w:val="none"/>
          <w:lang w:val="en-US" w:eastAsia="zh-CN"/>
        </w:rPr>
        <w:t>的规定，本局将每日按罚款数额的百分之三加处罚款，并依法申请人民法院强制执行。</w:t>
      </w:r>
    </w:p>
    <w:p>
      <w:pPr>
        <w:pStyle w:val="3"/>
        <w:keepNext w:val="0"/>
        <w:keepLines w:val="0"/>
        <w:pageBreakBefore w:val="0"/>
        <w:widowControl w:val="0"/>
        <w:tabs>
          <w:tab w:val="left" w:pos="8204"/>
        </w:tabs>
        <w:kinsoku w:val="0"/>
        <w:wordWrap/>
        <w:overflowPunct w:val="0"/>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color w:val="231F20"/>
          <w:sz w:val="32"/>
          <w:szCs w:val="32"/>
          <w:u w:val="none"/>
          <w:lang w:eastAsia="zh-CN"/>
        </w:rPr>
      </w:pPr>
      <w:r>
        <w:rPr>
          <w:rFonts w:hint="eastAsia" w:ascii="仿宋_GB2312" w:hAnsi="仿宋_GB2312" w:eastAsia="仿宋_GB2312" w:cs="仿宋_GB2312"/>
          <w:color w:val="231F20"/>
          <w:sz w:val="32"/>
          <w:szCs w:val="32"/>
          <w:u w:val="none"/>
          <w:lang w:eastAsia="zh-CN"/>
        </w:rPr>
        <w:t>如对本行政处罚决定不服，可在收到本处罚决定书之日起60日内向新疆维吾尔自治区人民政府或者国家药品监督管理局申请行政复议；也可以在6个月内依法向乌鲁木齐市水磨沟区人民法院提起行政诉讼。复议和诉讼期间，行政处罚不停止执行。</w:t>
      </w:r>
    </w:p>
    <w:p>
      <w:pPr>
        <w:pStyle w:val="3"/>
        <w:keepNext w:val="0"/>
        <w:keepLines w:val="0"/>
        <w:pageBreakBefore w:val="0"/>
        <w:widowControl w:val="0"/>
        <w:tabs>
          <w:tab w:val="left" w:pos="8204"/>
        </w:tabs>
        <w:kinsoku w:val="0"/>
        <w:wordWrap/>
        <w:overflowPunct w:val="0"/>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color w:val="231F20"/>
          <w:sz w:val="32"/>
          <w:szCs w:val="32"/>
          <w:u w:val="none"/>
          <w:lang w:val="en-US" w:eastAsia="zh-CN"/>
        </w:rPr>
      </w:pPr>
      <w:r>
        <w:rPr>
          <w:rFonts w:hint="eastAsia" w:ascii="仿宋_GB2312" w:hAnsi="仿宋_GB2312" w:eastAsia="仿宋_GB2312" w:cs="仿宋_GB2312"/>
          <w:color w:val="231F20"/>
          <w:sz w:val="32"/>
          <w:szCs w:val="32"/>
          <w:u w:val="none"/>
          <w:lang w:val="en-US" w:eastAsia="zh-CN"/>
        </w:rPr>
        <w:t xml:space="preserve">                         </w:t>
      </w:r>
    </w:p>
    <w:p>
      <w:pPr>
        <w:pStyle w:val="3"/>
        <w:keepNext w:val="0"/>
        <w:keepLines w:val="0"/>
        <w:pageBreakBefore w:val="0"/>
        <w:widowControl w:val="0"/>
        <w:tabs>
          <w:tab w:val="left" w:pos="8204"/>
        </w:tabs>
        <w:kinsoku w:val="0"/>
        <w:wordWrap/>
        <w:overflowPunct w:val="0"/>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color w:val="231F20"/>
          <w:sz w:val="32"/>
          <w:szCs w:val="32"/>
          <w:u w:val="none"/>
          <w:lang w:val="en-US" w:eastAsia="zh-CN"/>
        </w:rPr>
      </w:pPr>
    </w:p>
    <w:p>
      <w:pPr>
        <w:pStyle w:val="3"/>
        <w:keepNext w:val="0"/>
        <w:keepLines w:val="0"/>
        <w:pageBreakBefore w:val="0"/>
        <w:widowControl w:val="0"/>
        <w:tabs>
          <w:tab w:val="left" w:pos="8204"/>
        </w:tabs>
        <w:kinsoku w:val="0"/>
        <w:wordWrap/>
        <w:overflowPunct w:val="0"/>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color w:val="231F20"/>
          <w:sz w:val="32"/>
          <w:szCs w:val="32"/>
          <w:u w:val="none"/>
          <w:lang w:val="en-US" w:eastAsia="zh-CN"/>
        </w:rPr>
      </w:pPr>
    </w:p>
    <w:p>
      <w:pPr>
        <w:pStyle w:val="3"/>
        <w:keepNext w:val="0"/>
        <w:keepLines w:val="0"/>
        <w:pageBreakBefore w:val="0"/>
        <w:widowControl w:val="0"/>
        <w:tabs>
          <w:tab w:val="left" w:pos="8204"/>
        </w:tabs>
        <w:kinsoku w:val="0"/>
        <w:wordWrap/>
        <w:overflowPunct w:val="0"/>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color w:val="231F20"/>
          <w:sz w:val="32"/>
          <w:szCs w:val="32"/>
          <w:u w:val="none"/>
          <w:lang w:eastAsia="zh-CN"/>
        </w:rPr>
      </w:pPr>
      <w:r>
        <w:rPr>
          <w:rFonts w:hint="eastAsia" w:ascii="仿宋_GB2312" w:hAnsi="仿宋_GB2312" w:eastAsia="仿宋_GB2312" w:cs="仿宋_GB2312"/>
          <w:color w:val="231F20"/>
          <w:sz w:val="32"/>
          <w:szCs w:val="32"/>
          <w:u w:val="none"/>
          <w:lang w:val="en-US" w:eastAsia="zh-CN"/>
        </w:rPr>
        <w:t xml:space="preserve">                         </w:t>
      </w:r>
      <w:r>
        <w:rPr>
          <w:rFonts w:hint="eastAsia" w:ascii="仿宋_GB2312" w:hAnsi="仿宋_GB2312" w:eastAsia="仿宋_GB2312" w:cs="仿宋_GB2312"/>
          <w:color w:val="231F20"/>
          <w:sz w:val="32"/>
          <w:szCs w:val="32"/>
          <w:u w:val="none"/>
          <w:lang w:eastAsia="zh-CN"/>
        </w:rPr>
        <w:t>自治区药品监督管理局</w:t>
      </w:r>
    </w:p>
    <w:p>
      <w:pPr>
        <w:pStyle w:val="3"/>
        <w:keepNext w:val="0"/>
        <w:keepLines w:val="0"/>
        <w:pageBreakBefore w:val="0"/>
        <w:widowControl w:val="0"/>
        <w:tabs>
          <w:tab w:val="left" w:pos="8204"/>
        </w:tabs>
        <w:kinsoku w:val="0"/>
        <w:wordWrap/>
        <w:overflowPunct w:val="0"/>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color w:val="231F20"/>
          <w:sz w:val="32"/>
          <w:szCs w:val="32"/>
          <w:u w:val="none"/>
          <w:lang w:eastAsia="zh-CN"/>
        </w:rPr>
      </w:pPr>
      <w:r>
        <w:rPr>
          <w:rFonts w:hint="eastAsia" w:ascii="仿宋_GB2312" w:hAnsi="仿宋_GB2312" w:eastAsia="仿宋_GB2312" w:cs="仿宋_GB2312"/>
          <w:color w:val="231F20"/>
          <w:sz w:val="32"/>
          <w:szCs w:val="32"/>
          <w:u w:val="none"/>
          <w:lang w:val="en-US" w:eastAsia="zh-CN"/>
        </w:rPr>
        <w:t xml:space="preserve">                            </w:t>
      </w:r>
      <w:r>
        <w:rPr>
          <w:rFonts w:hint="eastAsia" w:ascii="仿宋_GB2312" w:hAnsi="仿宋_GB2312" w:eastAsia="仿宋_GB2312" w:cs="仿宋_GB2312"/>
          <w:color w:val="231F20"/>
          <w:sz w:val="32"/>
          <w:szCs w:val="32"/>
          <w:u w:val="none"/>
          <w:lang w:eastAsia="zh-CN"/>
        </w:rPr>
        <w:t>202</w:t>
      </w:r>
      <w:r>
        <w:rPr>
          <w:rFonts w:hint="eastAsia" w:ascii="仿宋_GB2312" w:hAnsi="仿宋_GB2312" w:eastAsia="仿宋_GB2312" w:cs="仿宋_GB2312"/>
          <w:color w:val="231F20"/>
          <w:sz w:val="32"/>
          <w:szCs w:val="32"/>
          <w:u w:val="none"/>
          <w:lang w:val="en-US" w:eastAsia="zh-CN"/>
        </w:rPr>
        <w:t>3</w:t>
      </w:r>
      <w:r>
        <w:rPr>
          <w:rFonts w:hint="eastAsia" w:ascii="仿宋_GB2312" w:hAnsi="仿宋_GB2312" w:eastAsia="仿宋_GB2312" w:cs="仿宋_GB2312"/>
          <w:color w:val="231F20"/>
          <w:sz w:val="32"/>
          <w:szCs w:val="32"/>
          <w:u w:val="none"/>
          <w:lang w:eastAsia="zh-CN"/>
        </w:rPr>
        <w:t>年</w:t>
      </w:r>
      <w:r>
        <w:rPr>
          <w:rFonts w:hint="default" w:ascii="仿宋_GB2312" w:hAnsi="仿宋_GB2312" w:eastAsia="仿宋_GB2312" w:cs="仿宋_GB2312"/>
          <w:color w:val="231F20"/>
          <w:sz w:val="32"/>
          <w:szCs w:val="32"/>
          <w:u w:val="none"/>
          <w:lang w:val="en" w:eastAsia="zh-CN"/>
        </w:rPr>
        <w:t>3</w:t>
      </w:r>
      <w:r>
        <w:rPr>
          <w:rFonts w:hint="eastAsia" w:ascii="仿宋_GB2312" w:hAnsi="仿宋_GB2312" w:eastAsia="仿宋_GB2312" w:cs="仿宋_GB2312"/>
          <w:color w:val="231F20"/>
          <w:sz w:val="32"/>
          <w:szCs w:val="32"/>
          <w:u w:val="none"/>
          <w:lang w:eastAsia="zh-CN"/>
        </w:rPr>
        <w:t>月</w:t>
      </w:r>
      <w:r>
        <w:rPr>
          <w:rFonts w:hint="eastAsia" w:ascii="仿宋_GB2312" w:hAnsi="仿宋_GB2312" w:eastAsia="仿宋_GB2312" w:cs="仿宋_GB2312"/>
          <w:color w:val="231F20"/>
          <w:sz w:val="32"/>
          <w:szCs w:val="32"/>
          <w:u w:val="none"/>
          <w:lang w:val="en-US" w:eastAsia="zh-CN"/>
        </w:rPr>
        <w:t>30</w:t>
      </w:r>
      <w:r>
        <w:rPr>
          <w:rFonts w:hint="eastAsia" w:ascii="仿宋_GB2312" w:hAnsi="仿宋_GB2312" w:eastAsia="仿宋_GB2312" w:cs="仿宋_GB2312"/>
          <w:color w:val="231F20"/>
          <w:sz w:val="32"/>
          <w:szCs w:val="32"/>
          <w:u w:val="none"/>
          <w:lang w:eastAsia="zh-CN"/>
        </w:rPr>
        <w:t>日</w:t>
      </w:r>
    </w:p>
    <w:p>
      <w:pPr>
        <w:keepNext w:val="0"/>
        <w:keepLines w:val="0"/>
        <w:pageBreakBefore w:val="0"/>
        <w:widowControl w:val="0"/>
        <w:wordWrap/>
        <w:topLinePunct w:val="0"/>
        <w:autoSpaceDE/>
        <w:autoSpaceDN/>
        <w:bidi w:val="0"/>
        <w:snapToGrid/>
        <w:spacing w:line="600" w:lineRule="exact"/>
        <w:jc w:val="both"/>
        <w:textAlignment w:val="auto"/>
        <w:rPr>
          <w:rFonts w:hint="eastAsia" w:ascii="仿宋_GB2312" w:hAnsi="仿宋_GB2312" w:eastAsia="仿宋_GB2312" w:cs="仿宋_GB2312"/>
          <w:b/>
          <w:sz w:val="32"/>
          <w:szCs w:val="32"/>
          <w:u w:val="none"/>
          <w:lang w:eastAsia="zh-CN"/>
        </w:rPr>
      </w:pPr>
    </w:p>
    <w:p>
      <w:pPr>
        <w:keepNext w:val="0"/>
        <w:keepLines w:val="0"/>
        <w:pageBreakBefore w:val="0"/>
        <w:widowControl w:val="0"/>
        <w:wordWrap/>
        <w:topLinePunct w:val="0"/>
        <w:autoSpaceDE/>
        <w:autoSpaceDN/>
        <w:bidi w:val="0"/>
        <w:snapToGrid/>
        <w:spacing w:line="600" w:lineRule="exact"/>
        <w:jc w:val="both"/>
        <w:textAlignment w:val="auto"/>
        <w:rPr>
          <w:rFonts w:hint="eastAsia" w:ascii="仿宋_GB2312" w:hAnsi="仿宋_GB2312" w:eastAsia="仿宋_GB2312" w:cs="仿宋_GB2312"/>
          <w:b/>
          <w:sz w:val="32"/>
          <w:szCs w:val="32"/>
          <w:u w:val="none"/>
          <w:lang w:eastAsia="zh-CN"/>
        </w:rPr>
      </w:pPr>
    </w:p>
    <w:p>
      <w:pPr>
        <w:keepNext w:val="0"/>
        <w:keepLines w:val="0"/>
        <w:pageBreakBefore w:val="0"/>
        <w:widowControl w:val="0"/>
        <w:wordWrap/>
        <w:topLinePunct w:val="0"/>
        <w:autoSpaceDE/>
        <w:autoSpaceDN/>
        <w:bidi w:val="0"/>
        <w:snapToGrid/>
        <w:spacing w:line="600" w:lineRule="exact"/>
        <w:jc w:val="both"/>
        <w:textAlignment w:val="auto"/>
        <w:rPr>
          <w:rFonts w:hint="eastAsia" w:ascii="仿宋_GB2312" w:hAnsi="仿宋_GB2312" w:eastAsia="仿宋_GB2312" w:cs="仿宋_GB2312"/>
          <w:b/>
          <w:sz w:val="32"/>
          <w:szCs w:val="32"/>
          <w:u w:val="none"/>
          <w:lang w:eastAsia="zh-CN"/>
        </w:rPr>
      </w:pPr>
    </w:p>
    <w:p>
      <w:pPr>
        <w:keepNext w:val="0"/>
        <w:keepLines w:val="0"/>
        <w:pageBreakBefore w:val="0"/>
        <w:widowControl w:val="0"/>
        <w:wordWrap/>
        <w:topLinePunct w:val="0"/>
        <w:autoSpaceDE/>
        <w:autoSpaceDN/>
        <w:bidi w:val="0"/>
        <w:snapToGrid/>
        <w:spacing w:line="600" w:lineRule="exact"/>
        <w:jc w:val="both"/>
        <w:textAlignment w:val="auto"/>
        <w:rPr>
          <w:rFonts w:hint="eastAsia" w:ascii="仿宋_GB2312" w:hAnsi="仿宋_GB2312" w:eastAsia="仿宋_GB2312" w:cs="仿宋_GB2312"/>
          <w:b/>
          <w:sz w:val="32"/>
          <w:szCs w:val="32"/>
          <w:u w:val="none"/>
          <w:lang w:eastAsia="zh-CN"/>
        </w:rPr>
      </w:pPr>
      <w:r>
        <w:rPr>
          <w:rFonts w:hint="eastAsia" w:ascii="仿宋_GB2312" w:hAnsi="仿宋_GB2312" w:eastAsia="仿宋_GB2312" w:cs="仿宋_GB2312"/>
          <w:b/>
          <w:sz w:val="32"/>
          <w:szCs w:val="32"/>
          <w:u w:val="none"/>
          <w:lang w:eastAsia="zh-CN"/>
        </w:rPr>
        <w:t>（药品监督管理部门将依法向社会公示行政处罚决定信息）</w:t>
      </w:r>
    </w:p>
    <w:p>
      <w:pPr>
        <w:keepNext w:val="0"/>
        <w:keepLines w:val="0"/>
        <w:pageBreakBefore w:val="0"/>
        <w:widowControl w:val="0"/>
        <w:wordWrap/>
        <w:topLinePunct w:val="0"/>
        <w:autoSpaceDE/>
        <w:autoSpaceDN/>
        <w:bidi w:val="0"/>
        <w:snapToGrid/>
        <w:spacing w:line="600" w:lineRule="exact"/>
        <w:jc w:val="both"/>
        <w:textAlignment w:val="auto"/>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 xml:space="preserve"> </w:t>
      </w:r>
    </w:p>
    <w:p>
      <w:pPr>
        <w:keepNext w:val="0"/>
        <w:keepLines w:val="0"/>
        <w:pageBreakBefore w:val="0"/>
        <w:widowControl w:val="0"/>
        <w:wordWrap/>
        <w:topLinePunct w:val="0"/>
        <w:autoSpaceDE/>
        <w:autoSpaceDN/>
        <w:bidi w:val="0"/>
        <w:snapToGrid/>
        <w:spacing w:line="600" w:lineRule="exact"/>
        <w:jc w:val="both"/>
        <w:textAlignment w:val="auto"/>
        <w:rPr>
          <w:rFonts w:hint="eastAsia" w:ascii="仿宋_GB2312" w:hAnsi="仿宋_GB2312" w:eastAsia="仿宋_GB2312" w:cs="仿宋_GB2312"/>
          <w:b w:val="0"/>
          <w:bCs/>
          <w:sz w:val="32"/>
          <w:szCs w:val="32"/>
          <w:u w:val="none"/>
          <w:lang w:val="en-US" w:eastAsia="zh-CN"/>
        </w:rPr>
      </w:pPr>
    </w:p>
    <w:p>
      <w:pPr>
        <w:keepNext w:val="0"/>
        <w:keepLines w:val="0"/>
        <w:pageBreakBefore w:val="0"/>
        <w:widowControl w:val="0"/>
        <w:wordWrap/>
        <w:topLinePunct w:val="0"/>
        <w:autoSpaceDE/>
        <w:autoSpaceDN/>
        <w:bidi w:val="0"/>
        <w:snapToGrid/>
        <w:spacing w:line="600" w:lineRule="exact"/>
        <w:jc w:val="both"/>
        <w:textAlignment w:val="auto"/>
        <w:rPr>
          <w:highlight w:val="none"/>
        </w:rPr>
      </w:pPr>
      <w:r>
        <w:rPr>
          <w:rFonts w:hint="eastAsia" w:ascii="仿宋_GB2312" w:hAnsi="仿宋_GB2312" w:eastAsia="仿宋_GB2312" w:cs="仿宋_GB2312"/>
          <w:b w:val="0"/>
          <w:bCs/>
          <w:sz w:val="32"/>
          <w:szCs w:val="32"/>
          <w:u w:val="single"/>
          <w:lang w:eastAsia="zh-CN"/>
        </w:rPr>
        <w:t>本文书一式三份，一份送达，一份归档，一份做账。</w:t>
      </w:r>
      <w:r>
        <w:rPr>
          <w:rFonts w:hint="eastAsia" w:ascii="Times New Roman" w:hAnsi="Times New Roman" w:eastAsia="仿宋_GB2312" w:cs="仿宋"/>
          <w:sz w:val="32"/>
          <w:szCs w:val="32"/>
          <w:highlight w:val="none"/>
          <w:lang w:val="en-US" w:eastAsia="zh-CN"/>
        </w:rPr>
        <w:t xml:space="preserve"> </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73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3">
    <w:name w:val="Body Text"/>
    <w:basedOn w:val="1"/>
    <w:qFormat/>
    <w:uiPriority w:val="1"/>
    <w:pPr>
      <w:ind w:left="220"/>
    </w:pPr>
    <w:rPr>
      <w:rFonts w:ascii="宋体" w:hAnsi="宋体" w:eastAsia="宋体"/>
      <w:sz w:val="32"/>
      <w:szCs w:val="32"/>
    </w:rPr>
  </w:style>
  <w:style w:type="paragraph" w:styleId="4">
    <w:name w:val="footer"/>
    <w:basedOn w:val="1"/>
    <w:qFormat/>
    <w:uiPriority w:val="99"/>
    <w:pPr>
      <w:tabs>
        <w:tab w:val="center" w:pos="4153"/>
        <w:tab w:val="right" w:pos="8306"/>
      </w:tabs>
      <w:snapToGrid w:val="0"/>
    </w:pPr>
    <w:rPr>
      <w:sz w:val="18"/>
    </w:rPr>
  </w:style>
  <w:style w:type="paragraph" w:customStyle="1" w:styleId="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2023-04-28T11:39:04Z</dcterms:created>
  <dc:creator>Administrator</dc:creator>
  <cp:lastModifiedBy>Administrator</cp:lastModifiedBy>
  <dcterms:modified xsi:type="dcterms:W3CDTF">2023-04-28T11:39:09Z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