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093" w:rsidRPr="00DB3424" w:rsidRDefault="00935093" w:rsidP="001E4EFA">
      <w:pPr>
        <w:jc w:val="center"/>
        <w:rPr>
          <w:rFonts w:ascii="方正小标宋简体" w:eastAsia="方正小标宋简体" w:hAnsi="黑体"/>
          <w:sz w:val="36"/>
          <w:szCs w:val="36"/>
        </w:rPr>
      </w:pPr>
      <w:r w:rsidRPr="00DB3424">
        <w:rPr>
          <w:rFonts w:ascii="方正小标宋简体" w:eastAsia="方正小标宋简体" w:hAnsi="黑体" w:hint="eastAsia"/>
          <w:sz w:val="36"/>
          <w:szCs w:val="36"/>
        </w:rPr>
        <w:t>化学仿制药注册批生产规模的一般性要求</w:t>
      </w:r>
      <w:r>
        <w:rPr>
          <w:rFonts w:ascii="方正小标宋简体" w:eastAsia="方正小标宋简体" w:hAnsi="黑体" w:hint="eastAsia"/>
          <w:sz w:val="36"/>
          <w:szCs w:val="36"/>
        </w:rPr>
        <w:t>（试行）</w:t>
      </w:r>
    </w:p>
    <w:p w:rsidR="00935093" w:rsidRDefault="00935093" w:rsidP="001E4EFA">
      <w:pPr>
        <w:jc w:val="center"/>
        <w:rPr>
          <w:rFonts w:ascii="黑体" w:eastAsia="黑体" w:hAnsi="黑体"/>
          <w:b/>
          <w:sz w:val="32"/>
          <w:szCs w:val="32"/>
        </w:rPr>
      </w:pPr>
    </w:p>
    <w:p w:rsidR="00935093" w:rsidRPr="00DB3424" w:rsidRDefault="00935093" w:rsidP="001E4EFA">
      <w:pPr>
        <w:autoSpaceDE w:val="0"/>
        <w:autoSpaceDN w:val="0"/>
        <w:adjustRightInd w:val="0"/>
        <w:ind w:firstLine="573"/>
        <w:jc w:val="left"/>
        <w:rPr>
          <w:rFonts w:ascii="仿宋_GB2312" w:eastAsia="仿宋_GB2312" w:hAnsi="Times New Roman"/>
          <w:sz w:val="32"/>
          <w:szCs w:val="32"/>
        </w:rPr>
      </w:pPr>
      <w:r w:rsidRPr="00DB3424">
        <w:rPr>
          <w:rFonts w:ascii="仿宋_GB2312" w:eastAsia="仿宋_GB2312" w:hAnsi="Times New Roman" w:hint="eastAsia"/>
          <w:sz w:val="32"/>
          <w:szCs w:val="32"/>
        </w:rPr>
        <w:t>为进一步贯彻中共中央办公厅、国务院办公厅《关于深化审评审批制度改革鼓励药品医疗器械创新的意见》（厅字〔</w:t>
      </w:r>
      <w:r w:rsidRPr="00DB3424">
        <w:rPr>
          <w:rFonts w:ascii="仿宋_GB2312" w:eastAsia="仿宋_GB2312" w:hAnsi="Times New Roman"/>
          <w:sz w:val="32"/>
          <w:szCs w:val="32"/>
        </w:rPr>
        <w:t>2017</w:t>
      </w:r>
      <w:r w:rsidRPr="00DB3424">
        <w:rPr>
          <w:rFonts w:ascii="仿宋_GB2312" w:eastAsia="仿宋_GB2312" w:hAnsi="Times New Roman" w:hint="eastAsia"/>
          <w:sz w:val="32"/>
          <w:szCs w:val="32"/>
        </w:rPr>
        <w:t>〕</w:t>
      </w:r>
      <w:r w:rsidRPr="00DB3424">
        <w:rPr>
          <w:rFonts w:ascii="仿宋_GB2312" w:eastAsia="仿宋_GB2312" w:hAnsi="Times New Roman"/>
          <w:sz w:val="32"/>
          <w:szCs w:val="32"/>
        </w:rPr>
        <w:t>42</w:t>
      </w:r>
      <w:r w:rsidRPr="00DB3424">
        <w:rPr>
          <w:rFonts w:ascii="仿宋_GB2312" w:eastAsia="仿宋_GB2312" w:hAnsi="Times New Roman" w:hint="eastAsia"/>
          <w:sz w:val="32"/>
          <w:szCs w:val="32"/>
        </w:rPr>
        <w:t>号）精神，推动药品注册技术标准国际接轨，促进仿制药研发和生产水平的提升，我中心结合国际相关技术指南以及我国仿制药生产的现状，特制定化学药品仿制药注册批生产规模的一般性要求。</w:t>
      </w:r>
    </w:p>
    <w:p w:rsidR="00935093" w:rsidRPr="00DB3424" w:rsidRDefault="00935093" w:rsidP="001E4EFA">
      <w:pPr>
        <w:autoSpaceDE w:val="0"/>
        <w:autoSpaceDN w:val="0"/>
        <w:adjustRightInd w:val="0"/>
        <w:ind w:firstLineChars="196" w:firstLine="627"/>
        <w:jc w:val="left"/>
        <w:rPr>
          <w:rFonts w:ascii="仿宋_GB2312" w:eastAsia="仿宋_GB2312" w:hAnsi="Times New Roman"/>
          <w:bCs/>
          <w:kern w:val="0"/>
          <w:sz w:val="32"/>
          <w:szCs w:val="32"/>
        </w:rPr>
      </w:pPr>
      <w:r w:rsidRPr="00DB3424">
        <w:rPr>
          <w:rFonts w:ascii="仿宋_GB2312" w:eastAsia="仿宋_GB2312" w:hAnsi="Times New Roman" w:hint="eastAsia"/>
          <w:bCs/>
          <w:kern w:val="0"/>
          <w:sz w:val="32"/>
          <w:szCs w:val="32"/>
        </w:rPr>
        <w:t>注册批是指能够代表拟定的商业化生产工艺生产并用于注册申报的批次，其产品质量须与商业化生产产品一致。一般情况下，用于正式稳定性研究的批次可作为注册批，注册批的生产与拟商业化生产的生产场地（具体至生产线）和设备原理应保持一致。不同制剂类型的具体要求如下：</w:t>
      </w:r>
    </w:p>
    <w:p w:rsidR="00935093" w:rsidRPr="00DB3424" w:rsidRDefault="00935093" w:rsidP="001E4EFA">
      <w:pPr>
        <w:autoSpaceDE w:val="0"/>
        <w:autoSpaceDN w:val="0"/>
        <w:adjustRightInd w:val="0"/>
        <w:ind w:firstLineChars="200" w:firstLine="640"/>
        <w:jc w:val="left"/>
        <w:rPr>
          <w:rFonts w:ascii="仿宋_GB2312" w:eastAsia="仿宋_GB2312" w:hAnsi="Times New Roman"/>
          <w:sz w:val="32"/>
          <w:szCs w:val="32"/>
        </w:rPr>
      </w:pPr>
      <w:r w:rsidRPr="00DB3424">
        <w:rPr>
          <w:rFonts w:ascii="楷体" w:eastAsia="楷体" w:hAnsi="楷体"/>
          <w:bCs/>
          <w:kern w:val="0"/>
          <w:sz w:val="32"/>
          <w:szCs w:val="32"/>
        </w:rPr>
        <w:t>1</w:t>
      </w:r>
      <w:r>
        <w:rPr>
          <w:rFonts w:ascii="楷体" w:eastAsia="楷体" w:hAnsi="楷体"/>
          <w:bCs/>
          <w:kern w:val="0"/>
          <w:sz w:val="32"/>
          <w:szCs w:val="32"/>
        </w:rPr>
        <w:t>.</w:t>
      </w:r>
      <w:r w:rsidRPr="00DB3424">
        <w:rPr>
          <w:rFonts w:ascii="楷体" w:eastAsia="楷体" w:hAnsi="楷体" w:hint="eastAsia"/>
          <w:bCs/>
          <w:kern w:val="0"/>
          <w:sz w:val="32"/>
          <w:szCs w:val="32"/>
        </w:rPr>
        <w:t>口服制剂</w:t>
      </w:r>
      <w:r>
        <w:rPr>
          <w:rFonts w:ascii="楷体" w:eastAsia="楷体" w:hAnsi="楷体" w:hint="eastAsia"/>
          <w:bCs/>
          <w:kern w:val="0"/>
          <w:sz w:val="32"/>
          <w:szCs w:val="32"/>
        </w:rPr>
        <w:t>：</w:t>
      </w:r>
      <w:r w:rsidRPr="00DB3424">
        <w:rPr>
          <w:rFonts w:ascii="楷体" w:eastAsia="楷体" w:hAnsi="楷体" w:hint="eastAsia"/>
          <w:bCs/>
          <w:kern w:val="0"/>
          <w:sz w:val="32"/>
          <w:szCs w:val="32"/>
        </w:rPr>
        <w:t>（</w:t>
      </w:r>
      <w:r w:rsidRPr="00DB3424">
        <w:rPr>
          <w:rFonts w:ascii="楷体" w:eastAsia="楷体" w:hAnsi="楷体"/>
          <w:bCs/>
          <w:kern w:val="0"/>
          <w:sz w:val="32"/>
          <w:szCs w:val="32"/>
        </w:rPr>
        <w:t>1</w:t>
      </w:r>
      <w:r w:rsidRPr="00DB3424">
        <w:rPr>
          <w:rFonts w:ascii="楷体" w:eastAsia="楷体" w:hAnsi="楷体" w:hint="eastAsia"/>
          <w:bCs/>
          <w:kern w:val="0"/>
          <w:sz w:val="32"/>
          <w:szCs w:val="32"/>
        </w:rPr>
        <w:t>）普通片剂</w:t>
      </w:r>
      <w:r w:rsidRPr="00DB3424">
        <w:rPr>
          <w:rFonts w:ascii="楷体" w:eastAsia="楷体" w:hAnsi="楷体"/>
          <w:bCs/>
          <w:kern w:val="0"/>
          <w:sz w:val="32"/>
          <w:szCs w:val="32"/>
        </w:rPr>
        <w:t>/</w:t>
      </w:r>
      <w:r w:rsidRPr="00DB3424">
        <w:rPr>
          <w:rFonts w:ascii="楷体" w:eastAsia="楷体" w:hAnsi="楷体" w:hint="eastAsia"/>
          <w:bCs/>
          <w:kern w:val="0"/>
          <w:sz w:val="32"/>
          <w:szCs w:val="32"/>
        </w:rPr>
        <w:t>胶囊剂（如速释片剂或胶囊剂等）：</w:t>
      </w:r>
      <w:r w:rsidRPr="00DB3424">
        <w:rPr>
          <w:rFonts w:ascii="仿宋_GB2312" w:eastAsia="仿宋_GB2312" w:hAnsi="Times New Roman" w:hint="eastAsia"/>
          <w:bCs/>
          <w:kern w:val="0"/>
          <w:sz w:val="32"/>
          <w:szCs w:val="32"/>
        </w:rPr>
        <w:t>注册批三批均</w:t>
      </w:r>
      <w:r w:rsidRPr="00DB3424">
        <w:rPr>
          <w:rFonts w:ascii="仿宋_GB2312" w:eastAsia="仿宋_GB2312" w:hAnsi="Times New Roman" w:hint="eastAsia"/>
          <w:sz w:val="32"/>
          <w:szCs w:val="32"/>
        </w:rPr>
        <w:t>应至少达到拟定商业化生产规模的</w:t>
      </w:r>
      <w:r w:rsidRPr="00DB3424">
        <w:rPr>
          <w:rFonts w:ascii="仿宋_GB2312" w:eastAsia="仿宋_GB2312" w:hAnsi="Times New Roman"/>
          <w:sz w:val="32"/>
          <w:szCs w:val="32"/>
        </w:rPr>
        <w:t>10%</w:t>
      </w:r>
      <w:r w:rsidRPr="00DB3424">
        <w:rPr>
          <w:rFonts w:ascii="仿宋_GB2312" w:eastAsia="仿宋_GB2312" w:hAnsi="Times New Roman" w:hint="eastAsia"/>
          <w:sz w:val="32"/>
          <w:szCs w:val="32"/>
        </w:rPr>
        <w:t>或</w:t>
      </w:r>
      <w:r w:rsidRPr="00DB3424">
        <w:rPr>
          <w:rFonts w:ascii="仿宋_GB2312" w:eastAsia="仿宋_GB2312" w:hAnsi="Times New Roman"/>
          <w:sz w:val="32"/>
          <w:szCs w:val="32"/>
        </w:rPr>
        <w:t>100,000</w:t>
      </w:r>
      <w:r w:rsidRPr="00DB3424">
        <w:rPr>
          <w:rFonts w:ascii="仿宋_GB2312" w:eastAsia="仿宋_GB2312" w:hAnsi="Times New Roman" w:hint="eastAsia"/>
          <w:sz w:val="32"/>
          <w:szCs w:val="32"/>
        </w:rPr>
        <w:t>制剂单位，</w:t>
      </w:r>
      <w:r w:rsidRPr="00DB3424">
        <w:rPr>
          <w:rFonts w:ascii="仿宋_GB2312" w:eastAsia="仿宋_GB2312" w:hAnsi="Times New Roman" w:hint="eastAsia"/>
          <w:bCs/>
          <w:kern w:val="0"/>
          <w:sz w:val="32"/>
          <w:szCs w:val="32"/>
        </w:rPr>
        <w:t>两者中选更多的</w:t>
      </w:r>
      <w:r w:rsidRPr="00DB3424">
        <w:rPr>
          <w:rFonts w:ascii="仿宋_GB2312" w:eastAsia="仿宋_GB2312" w:hAnsi="Times New Roman" w:hint="eastAsia"/>
          <w:sz w:val="32"/>
          <w:szCs w:val="32"/>
        </w:rPr>
        <w:t>。</w:t>
      </w:r>
      <w:r w:rsidRPr="00550D37">
        <w:rPr>
          <w:rFonts w:ascii="楷体" w:eastAsia="楷体" w:hAnsi="楷体" w:hint="eastAsia"/>
          <w:bCs/>
          <w:kern w:val="0"/>
          <w:sz w:val="32"/>
          <w:szCs w:val="32"/>
        </w:rPr>
        <w:t>（</w:t>
      </w:r>
      <w:r w:rsidRPr="00550D37">
        <w:rPr>
          <w:rFonts w:ascii="楷体" w:eastAsia="楷体" w:hAnsi="楷体"/>
          <w:bCs/>
          <w:kern w:val="0"/>
          <w:sz w:val="32"/>
          <w:szCs w:val="32"/>
        </w:rPr>
        <w:t>2</w:t>
      </w:r>
      <w:r w:rsidRPr="00550D37">
        <w:rPr>
          <w:rFonts w:ascii="楷体" w:eastAsia="楷体" w:hAnsi="楷体" w:hint="eastAsia"/>
          <w:bCs/>
          <w:kern w:val="0"/>
          <w:sz w:val="32"/>
          <w:szCs w:val="32"/>
        </w:rPr>
        <w:t>）</w:t>
      </w:r>
      <w:r w:rsidRPr="00DB3424">
        <w:rPr>
          <w:rFonts w:ascii="楷体" w:eastAsia="楷体" w:hAnsi="楷体" w:hint="eastAsia"/>
          <w:bCs/>
          <w:kern w:val="0"/>
          <w:sz w:val="32"/>
          <w:szCs w:val="32"/>
        </w:rPr>
        <w:t>散剂</w:t>
      </w:r>
      <w:r w:rsidRPr="00DB3424">
        <w:rPr>
          <w:rFonts w:ascii="楷体" w:eastAsia="楷体" w:hAnsi="楷体"/>
          <w:bCs/>
          <w:kern w:val="0"/>
          <w:sz w:val="32"/>
          <w:szCs w:val="32"/>
        </w:rPr>
        <w:t>/</w:t>
      </w:r>
      <w:r w:rsidRPr="00DB3424">
        <w:rPr>
          <w:rFonts w:ascii="楷体" w:eastAsia="楷体" w:hAnsi="楷体" w:hint="eastAsia"/>
          <w:bCs/>
          <w:kern w:val="0"/>
          <w:sz w:val="32"/>
          <w:szCs w:val="32"/>
        </w:rPr>
        <w:t>溶液剂</w:t>
      </w:r>
      <w:r w:rsidRPr="00DB3424">
        <w:rPr>
          <w:rFonts w:ascii="楷体" w:eastAsia="楷体" w:hAnsi="楷体"/>
          <w:bCs/>
          <w:kern w:val="0"/>
          <w:sz w:val="32"/>
          <w:szCs w:val="32"/>
        </w:rPr>
        <w:t>/</w:t>
      </w:r>
      <w:r w:rsidRPr="00DB3424">
        <w:rPr>
          <w:rFonts w:ascii="楷体" w:eastAsia="楷体" w:hAnsi="楷体" w:hint="eastAsia"/>
          <w:bCs/>
          <w:kern w:val="0"/>
          <w:sz w:val="32"/>
          <w:szCs w:val="32"/>
        </w:rPr>
        <w:t>混悬剂</w:t>
      </w:r>
      <w:r w:rsidRPr="00DB3424">
        <w:rPr>
          <w:rFonts w:ascii="楷体" w:eastAsia="楷体" w:hAnsi="楷体"/>
          <w:bCs/>
          <w:kern w:val="0"/>
          <w:sz w:val="32"/>
          <w:szCs w:val="32"/>
        </w:rPr>
        <w:t>/</w:t>
      </w:r>
      <w:r w:rsidRPr="00DB3424">
        <w:rPr>
          <w:rFonts w:ascii="楷体" w:eastAsia="楷体" w:hAnsi="楷体" w:hint="eastAsia"/>
          <w:bCs/>
          <w:kern w:val="0"/>
          <w:sz w:val="32"/>
          <w:szCs w:val="32"/>
        </w:rPr>
        <w:t>颗粒剂</w:t>
      </w:r>
      <w:r w:rsidRPr="00DB3424">
        <w:rPr>
          <w:rFonts w:ascii="楷体" w:eastAsia="楷体" w:hAnsi="楷体"/>
          <w:bCs/>
          <w:kern w:val="0"/>
          <w:sz w:val="32"/>
          <w:szCs w:val="32"/>
        </w:rPr>
        <w:t>/</w:t>
      </w:r>
      <w:r w:rsidRPr="00DB3424">
        <w:rPr>
          <w:rFonts w:ascii="楷体" w:eastAsia="楷体" w:hAnsi="楷体" w:hint="eastAsia"/>
          <w:bCs/>
          <w:kern w:val="0"/>
          <w:sz w:val="32"/>
          <w:szCs w:val="32"/>
        </w:rPr>
        <w:t>糖浆剂：</w:t>
      </w:r>
      <w:r w:rsidRPr="00DB3424">
        <w:rPr>
          <w:rFonts w:ascii="仿宋_GB2312" w:eastAsia="仿宋_GB2312" w:hAnsi="Times New Roman" w:hint="eastAsia"/>
          <w:sz w:val="32"/>
          <w:szCs w:val="32"/>
        </w:rPr>
        <w:t>注册批三批均应至少达到拟定商业化生产规模的</w:t>
      </w:r>
      <w:r w:rsidRPr="00DB3424">
        <w:rPr>
          <w:rFonts w:ascii="仿宋_GB2312" w:eastAsia="仿宋_GB2312" w:hAnsi="Times New Roman"/>
          <w:sz w:val="32"/>
          <w:szCs w:val="32"/>
        </w:rPr>
        <w:t>10%</w:t>
      </w:r>
      <w:r w:rsidRPr="00DB3424">
        <w:rPr>
          <w:rFonts w:ascii="仿宋_GB2312" w:eastAsia="仿宋_GB2312" w:hAnsi="Times New Roman" w:hint="eastAsia"/>
          <w:sz w:val="32"/>
          <w:szCs w:val="32"/>
        </w:rPr>
        <w:t>。</w:t>
      </w:r>
      <w:r w:rsidRPr="00DB3424">
        <w:rPr>
          <w:rFonts w:ascii="楷体" w:eastAsia="楷体" w:hAnsi="楷体" w:hint="eastAsia"/>
          <w:bCs/>
          <w:kern w:val="0"/>
          <w:sz w:val="32"/>
          <w:szCs w:val="32"/>
        </w:rPr>
        <w:t>（</w:t>
      </w:r>
      <w:r w:rsidRPr="00DB3424">
        <w:rPr>
          <w:rFonts w:ascii="楷体" w:eastAsia="楷体" w:hAnsi="楷体"/>
          <w:bCs/>
          <w:kern w:val="0"/>
          <w:sz w:val="32"/>
          <w:szCs w:val="32"/>
        </w:rPr>
        <w:t>3</w:t>
      </w:r>
      <w:r w:rsidRPr="00DB3424">
        <w:rPr>
          <w:rFonts w:ascii="楷体" w:eastAsia="楷体" w:hAnsi="楷体" w:hint="eastAsia"/>
          <w:bCs/>
          <w:kern w:val="0"/>
          <w:sz w:val="32"/>
          <w:szCs w:val="32"/>
        </w:rPr>
        <w:t>）缓控释片剂</w:t>
      </w:r>
      <w:r w:rsidRPr="00DB3424">
        <w:rPr>
          <w:rFonts w:ascii="楷体" w:eastAsia="楷体" w:hAnsi="楷体"/>
          <w:bCs/>
          <w:kern w:val="0"/>
          <w:sz w:val="32"/>
          <w:szCs w:val="32"/>
        </w:rPr>
        <w:t>/</w:t>
      </w:r>
      <w:r w:rsidRPr="00DB3424">
        <w:rPr>
          <w:rFonts w:ascii="楷体" w:eastAsia="楷体" w:hAnsi="楷体" w:hint="eastAsia"/>
          <w:bCs/>
          <w:kern w:val="0"/>
          <w:sz w:val="32"/>
          <w:szCs w:val="32"/>
        </w:rPr>
        <w:t>胶囊：</w:t>
      </w:r>
      <w:r w:rsidRPr="00DB3424">
        <w:rPr>
          <w:rFonts w:ascii="仿宋_GB2312" w:eastAsia="仿宋_GB2312" w:hAnsi="Times New Roman" w:hint="eastAsia"/>
          <w:sz w:val="32"/>
          <w:szCs w:val="32"/>
        </w:rPr>
        <w:t>注册批三批均应该至少达到</w:t>
      </w:r>
      <w:r w:rsidRPr="00DB3424">
        <w:rPr>
          <w:rFonts w:ascii="仿宋_GB2312" w:eastAsia="仿宋_GB2312" w:hAnsi="Times New Roman"/>
          <w:sz w:val="32"/>
          <w:szCs w:val="32"/>
        </w:rPr>
        <w:t>100,000</w:t>
      </w:r>
      <w:r w:rsidRPr="00DB3424">
        <w:rPr>
          <w:rFonts w:ascii="仿宋_GB2312" w:eastAsia="仿宋_GB2312" w:hAnsi="Times New Roman" w:hint="eastAsia"/>
          <w:sz w:val="32"/>
          <w:szCs w:val="32"/>
        </w:rPr>
        <w:t>制剂单位，建议注册批生产规模与拟定商业化生产规模一致。</w:t>
      </w:r>
    </w:p>
    <w:p w:rsidR="00935093" w:rsidRPr="00DB3424" w:rsidRDefault="00935093" w:rsidP="001E4EFA">
      <w:pPr>
        <w:autoSpaceDE w:val="0"/>
        <w:autoSpaceDN w:val="0"/>
        <w:adjustRightInd w:val="0"/>
        <w:ind w:firstLineChars="196" w:firstLine="627"/>
        <w:jc w:val="left"/>
        <w:rPr>
          <w:rFonts w:ascii="仿宋_GB2312" w:eastAsia="仿宋_GB2312" w:hAnsi="Times New Roman"/>
          <w:sz w:val="32"/>
          <w:szCs w:val="32"/>
        </w:rPr>
      </w:pPr>
      <w:r w:rsidRPr="00DB3424">
        <w:rPr>
          <w:rFonts w:ascii="楷体" w:eastAsia="楷体" w:hAnsi="楷体"/>
          <w:bCs/>
          <w:kern w:val="0"/>
          <w:sz w:val="32"/>
          <w:szCs w:val="32"/>
        </w:rPr>
        <w:t>2</w:t>
      </w:r>
      <w:r>
        <w:rPr>
          <w:rFonts w:ascii="楷体" w:eastAsia="楷体" w:hAnsi="楷体"/>
          <w:bCs/>
          <w:kern w:val="0"/>
          <w:sz w:val="32"/>
          <w:szCs w:val="32"/>
        </w:rPr>
        <w:t>.</w:t>
      </w:r>
      <w:r w:rsidRPr="00DB3424">
        <w:rPr>
          <w:rFonts w:ascii="楷体" w:eastAsia="楷体" w:hAnsi="楷体" w:hint="eastAsia"/>
          <w:bCs/>
          <w:kern w:val="0"/>
          <w:sz w:val="32"/>
          <w:szCs w:val="32"/>
        </w:rPr>
        <w:t>注射剂</w:t>
      </w:r>
      <w:r w:rsidRPr="00DB3424">
        <w:rPr>
          <w:rFonts w:ascii="楷体" w:eastAsia="楷体" w:hAnsi="楷体"/>
          <w:bCs/>
          <w:kern w:val="0"/>
          <w:sz w:val="32"/>
          <w:szCs w:val="32"/>
        </w:rPr>
        <w:t>/</w:t>
      </w:r>
      <w:r w:rsidRPr="00DB3424">
        <w:rPr>
          <w:rFonts w:ascii="楷体" w:eastAsia="楷体" w:hAnsi="楷体" w:hint="eastAsia"/>
          <w:bCs/>
          <w:kern w:val="0"/>
          <w:sz w:val="32"/>
          <w:szCs w:val="32"/>
        </w:rPr>
        <w:t>局部用无菌制剂（眼用和耳用制剂）：</w:t>
      </w:r>
      <w:r w:rsidRPr="00DB3424">
        <w:rPr>
          <w:rFonts w:ascii="仿宋_GB2312" w:eastAsia="仿宋_GB2312" w:hAnsi="Times New Roman" w:hint="eastAsia"/>
          <w:sz w:val="32"/>
          <w:szCs w:val="32"/>
        </w:rPr>
        <w:t>注册批三批中的两个批次应至少达到（</w:t>
      </w:r>
      <w:r w:rsidRPr="00DB3424">
        <w:rPr>
          <w:rFonts w:ascii="仿宋_GB2312" w:eastAsia="仿宋_GB2312" w:hAnsi="Times New Roman"/>
          <w:sz w:val="32"/>
          <w:szCs w:val="32"/>
        </w:rPr>
        <w:t>1</w:t>
      </w:r>
      <w:r w:rsidRPr="00DB3424">
        <w:rPr>
          <w:rFonts w:ascii="仿宋_GB2312" w:eastAsia="仿宋_GB2312" w:hAnsi="Times New Roman" w:hint="eastAsia"/>
          <w:sz w:val="32"/>
          <w:szCs w:val="32"/>
        </w:rPr>
        <w:t>）拟定商业化生产规模的</w:t>
      </w:r>
      <w:r w:rsidRPr="00DB3424">
        <w:rPr>
          <w:rFonts w:ascii="仿宋_GB2312" w:eastAsia="仿宋_GB2312" w:hAnsi="Times New Roman"/>
          <w:sz w:val="32"/>
          <w:szCs w:val="32"/>
        </w:rPr>
        <w:t>10%</w:t>
      </w:r>
      <w:r w:rsidRPr="00DB3424">
        <w:rPr>
          <w:rFonts w:ascii="仿宋_GB2312" w:eastAsia="仿宋_GB2312" w:hAnsi="Times New Roman" w:hint="eastAsia"/>
          <w:sz w:val="32"/>
          <w:szCs w:val="32"/>
        </w:rPr>
        <w:t>；或（</w:t>
      </w:r>
      <w:r w:rsidRPr="00DB3424">
        <w:rPr>
          <w:rFonts w:ascii="仿宋_GB2312" w:eastAsia="仿宋_GB2312" w:hAnsi="Times New Roman"/>
          <w:sz w:val="32"/>
          <w:szCs w:val="32"/>
        </w:rPr>
        <w:t>2</w:t>
      </w:r>
      <w:r w:rsidRPr="00DB3424">
        <w:rPr>
          <w:rFonts w:ascii="仿宋_GB2312" w:eastAsia="仿宋_GB2312" w:hAnsi="Times New Roman" w:hint="eastAsia"/>
          <w:sz w:val="32"/>
          <w:szCs w:val="32"/>
        </w:rPr>
        <w:t>）如果每瓶</w:t>
      </w:r>
      <w:r w:rsidRPr="00DB3424">
        <w:rPr>
          <w:rFonts w:ascii="仿宋_GB2312" w:eastAsia="仿宋_GB2312" w:hAnsi="Times New Roman"/>
          <w:sz w:val="32"/>
          <w:szCs w:val="32"/>
        </w:rPr>
        <w:t>/</w:t>
      </w:r>
      <w:r w:rsidRPr="00DB3424">
        <w:rPr>
          <w:rFonts w:ascii="仿宋_GB2312" w:eastAsia="仿宋_GB2312" w:hAnsi="Times New Roman" w:hint="eastAsia"/>
          <w:sz w:val="32"/>
          <w:szCs w:val="32"/>
        </w:rPr>
        <w:t>支的灌装量大于</w:t>
      </w:r>
      <w:r w:rsidRPr="00DB3424">
        <w:rPr>
          <w:rFonts w:ascii="仿宋_GB2312" w:eastAsia="仿宋_GB2312" w:hAnsi="Times New Roman"/>
          <w:sz w:val="32"/>
          <w:szCs w:val="32"/>
        </w:rPr>
        <w:t>2.0ml</w:t>
      </w:r>
      <w:r w:rsidRPr="00DB3424">
        <w:rPr>
          <w:rFonts w:ascii="仿宋_GB2312" w:eastAsia="仿宋_GB2312" w:hAnsi="Times New Roman" w:hint="eastAsia"/>
          <w:sz w:val="32"/>
          <w:szCs w:val="32"/>
        </w:rPr>
        <w:t>，则为</w:t>
      </w:r>
      <w:r w:rsidRPr="00DB3424">
        <w:rPr>
          <w:rFonts w:ascii="仿宋_GB2312" w:eastAsia="仿宋_GB2312" w:hAnsi="Times New Roman"/>
          <w:sz w:val="32"/>
          <w:szCs w:val="32"/>
        </w:rPr>
        <w:t>50L/</w:t>
      </w:r>
      <w:r w:rsidRPr="00DB3424">
        <w:rPr>
          <w:rFonts w:ascii="仿宋_GB2312" w:eastAsia="仿宋_GB2312" w:hAnsi="Times New Roman" w:hint="eastAsia"/>
          <w:sz w:val="32"/>
          <w:szCs w:val="32"/>
        </w:rPr>
        <w:t>批，如果灌装量不超过</w:t>
      </w:r>
      <w:r w:rsidRPr="00DB3424">
        <w:rPr>
          <w:rFonts w:ascii="仿宋_GB2312" w:eastAsia="仿宋_GB2312" w:hAnsi="Times New Roman"/>
          <w:sz w:val="32"/>
          <w:szCs w:val="32"/>
        </w:rPr>
        <w:t>2.0ml</w:t>
      </w:r>
      <w:r w:rsidRPr="00DB3424">
        <w:rPr>
          <w:rFonts w:ascii="仿宋_GB2312" w:eastAsia="仿宋_GB2312" w:hAnsi="Times New Roman" w:hint="eastAsia"/>
          <w:sz w:val="32"/>
          <w:szCs w:val="32"/>
        </w:rPr>
        <w:t>，则为</w:t>
      </w:r>
      <w:r w:rsidRPr="00DB3424">
        <w:rPr>
          <w:rFonts w:ascii="仿宋_GB2312" w:eastAsia="仿宋_GB2312" w:hAnsi="Times New Roman"/>
          <w:sz w:val="32"/>
          <w:szCs w:val="32"/>
        </w:rPr>
        <w:t>30L/</w:t>
      </w:r>
      <w:r w:rsidRPr="00DB3424">
        <w:rPr>
          <w:rFonts w:ascii="仿宋_GB2312" w:eastAsia="仿宋_GB2312" w:hAnsi="Times New Roman" w:hint="eastAsia"/>
          <w:sz w:val="32"/>
          <w:szCs w:val="32"/>
        </w:rPr>
        <w:t>批；上述（</w:t>
      </w:r>
      <w:r w:rsidRPr="00DB3424">
        <w:rPr>
          <w:rFonts w:ascii="仿宋_GB2312" w:eastAsia="仿宋_GB2312" w:hAnsi="Times New Roman"/>
          <w:sz w:val="32"/>
          <w:szCs w:val="32"/>
        </w:rPr>
        <w:t>1</w:t>
      </w:r>
      <w:r w:rsidRPr="00DB3424">
        <w:rPr>
          <w:rFonts w:ascii="仿宋_GB2312" w:eastAsia="仿宋_GB2312" w:hAnsi="Times New Roman" w:hint="eastAsia"/>
          <w:sz w:val="32"/>
          <w:szCs w:val="32"/>
        </w:rPr>
        <w:t>）或（</w:t>
      </w:r>
      <w:r w:rsidRPr="00DB3424">
        <w:rPr>
          <w:rFonts w:ascii="仿宋_GB2312" w:eastAsia="仿宋_GB2312" w:hAnsi="Times New Roman"/>
          <w:sz w:val="32"/>
          <w:szCs w:val="32"/>
        </w:rPr>
        <w:t>2</w:t>
      </w:r>
      <w:r w:rsidRPr="00DB3424">
        <w:rPr>
          <w:rFonts w:ascii="仿宋_GB2312" w:eastAsia="仿宋_GB2312" w:hAnsi="Times New Roman" w:hint="eastAsia"/>
          <w:sz w:val="32"/>
          <w:szCs w:val="32"/>
        </w:rPr>
        <w:t>）应选择批量更大的（包装后）。申请人申报多种灌装规格（如</w:t>
      </w:r>
      <w:r w:rsidRPr="00DB3424">
        <w:rPr>
          <w:rFonts w:ascii="仿宋_GB2312" w:eastAsia="仿宋_GB2312" w:hAnsi="Times New Roman"/>
          <w:sz w:val="32"/>
          <w:szCs w:val="32"/>
        </w:rPr>
        <w:t>1 mL</w:t>
      </w:r>
      <w:r w:rsidRPr="00DB3424">
        <w:rPr>
          <w:rFonts w:ascii="仿宋_GB2312" w:eastAsia="仿宋_GB2312" w:hAnsi="Times New Roman" w:hint="eastAsia"/>
          <w:sz w:val="32"/>
          <w:szCs w:val="32"/>
        </w:rPr>
        <w:t>、</w:t>
      </w:r>
      <w:r w:rsidRPr="00DB3424">
        <w:rPr>
          <w:rFonts w:ascii="仿宋_GB2312" w:eastAsia="仿宋_GB2312" w:hAnsi="Times New Roman"/>
          <w:sz w:val="32"/>
          <w:szCs w:val="32"/>
        </w:rPr>
        <w:t>2 mL</w:t>
      </w:r>
      <w:r w:rsidRPr="00DB3424">
        <w:rPr>
          <w:rFonts w:ascii="仿宋_GB2312" w:eastAsia="仿宋_GB2312" w:hAnsi="Times New Roman" w:hint="eastAsia"/>
          <w:sz w:val="32"/>
          <w:szCs w:val="32"/>
        </w:rPr>
        <w:t>和</w:t>
      </w:r>
      <w:r w:rsidRPr="00DB3424">
        <w:rPr>
          <w:rFonts w:ascii="仿宋_GB2312" w:eastAsia="仿宋_GB2312" w:hAnsi="Times New Roman"/>
          <w:sz w:val="32"/>
          <w:szCs w:val="32"/>
        </w:rPr>
        <w:t>3 mL</w:t>
      </w:r>
      <w:r w:rsidRPr="00DB3424">
        <w:rPr>
          <w:rFonts w:ascii="仿宋_GB2312" w:eastAsia="仿宋_GB2312" w:hAnsi="Times New Roman" w:hint="eastAsia"/>
          <w:sz w:val="32"/>
          <w:szCs w:val="32"/>
        </w:rPr>
        <w:t>）时，建议批量应至少达到</w:t>
      </w:r>
      <w:r w:rsidRPr="00DB3424">
        <w:rPr>
          <w:rFonts w:ascii="仿宋_GB2312" w:eastAsia="仿宋_GB2312" w:hAnsi="Times New Roman"/>
          <w:sz w:val="32"/>
          <w:szCs w:val="32"/>
        </w:rPr>
        <w:t>50L</w:t>
      </w:r>
      <w:r w:rsidRPr="00DB3424">
        <w:rPr>
          <w:rFonts w:ascii="仿宋_GB2312" w:eastAsia="仿宋_GB2312" w:hAnsi="Times New Roman" w:hint="eastAsia"/>
          <w:sz w:val="32"/>
          <w:szCs w:val="32"/>
        </w:rPr>
        <w:t>。第三个批次可以低于拟定商业化生产规模的</w:t>
      </w:r>
      <w:r w:rsidRPr="00DB3424">
        <w:rPr>
          <w:rFonts w:ascii="仿宋_GB2312" w:eastAsia="仿宋_GB2312" w:hAnsi="Times New Roman"/>
          <w:sz w:val="32"/>
          <w:szCs w:val="32"/>
        </w:rPr>
        <w:t>10%</w:t>
      </w:r>
      <w:r w:rsidRPr="00DB3424">
        <w:rPr>
          <w:rFonts w:ascii="仿宋_GB2312" w:eastAsia="仿宋_GB2312" w:hAnsi="Times New Roman" w:hint="eastAsia"/>
          <w:sz w:val="32"/>
          <w:szCs w:val="32"/>
        </w:rPr>
        <w:t>，但应至少达到注册批最大批量的</w:t>
      </w:r>
      <w:r w:rsidRPr="00DB3424">
        <w:rPr>
          <w:rFonts w:ascii="仿宋_GB2312" w:eastAsia="仿宋_GB2312" w:hAnsi="Times New Roman"/>
          <w:sz w:val="32"/>
          <w:szCs w:val="32"/>
        </w:rPr>
        <w:t>25%</w:t>
      </w:r>
      <w:r w:rsidRPr="00DB3424">
        <w:rPr>
          <w:rFonts w:ascii="仿宋_GB2312" w:eastAsia="仿宋_GB2312" w:hAnsi="Times New Roman" w:hint="eastAsia"/>
          <w:sz w:val="32"/>
          <w:szCs w:val="32"/>
        </w:rPr>
        <w:t>（包装后）。</w:t>
      </w:r>
    </w:p>
    <w:p w:rsidR="00935093" w:rsidRPr="00DB3424" w:rsidRDefault="00935093" w:rsidP="001E4EFA">
      <w:pPr>
        <w:autoSpaceDE w:val="0"/>
        <w:autoSpaceDN w:val="0"/>
        <w:adjustRightInd w:val="0"/>
        <w:ind w:firstLineChars="196" w:firstLine="627"/>
        <w:jc w:val="left"/>
        <w:rPr>
          <w:rFonts w:ascii="仿宋_GB2312" w:eastAsia="仿宋_GB2312" w:hAnsi="Times New Roman"/>
          <w:sz w:val="32"/>
          <w:szCs w:val="32"/>
        </w:rPr>
      </w:pPr>
      <w:r w:rsidRPr="00DB3424">
        <w:rPr>
          <w:rFonts w:ascii="楷体" w:eastAsia="楷体" w:hAnsi="楷体"/>
          <w:bCs/>
          <w:kern w:val="0"/>
          <w:sz w:val="32"/>
          <w:szCs w:val="32"/>
        </w:rPr>
        <w:t>3</w:t>
      </w:r>
      <w:r>
        <w:rPr>
          <w:rFonts w:ascii="楷体" w:eastAsia="楷体" w:hAnsi="楷体"/>
          <w:bCs/>
          <w:kern w:val="0"/>
          <w:sz w:val="32"/>
          <w:szCs w:val="32"/>
        </w:rPr>
        <w:t>.</w:t>
      </w:r>
      <w:r w:rsidRPr="00DB3424">
        <w:rPr>
          <w:rFonts w:ascii="楷体" w:eastAsia="楷体" w:hAnsi="楷体" w:hint="eastAsia"/>
          <w:bCs/>
          <w:kern w:val="0"/>
          <w:sz w:val="32"/>
          <w:szCs w:val="32"/>
        </w:rPr>
        <w:t>特殊注射剂（如脂质体、微球、胶束等）</w:t>
      </w:r>
      <w:r w:rsidRPr="00DB3424">
        <w:rPr>
          <w:rFonts w:ascii="楷体" w:eastAsia="楷体" w:hAnsi="楷体"/>
          <w:bCs/>
          <w:kern w:val="0"/>
          <w:sz w:val="32"/>
          <w:szCs w:val="32"/>
        </w:rPr>
        <w:t>/</w:t>
      </w:r>
      <w:r w:rsidRPr="00DB3424">
        <w:rPr>
          <w:rFonts w:ascii="楷体" w:eastAsia="楷体" w:hAnsi="楷体" w:hint="eastAsia"/>
          <w:bCs/>
          <w:kern w:val="0"/>
          <w:sz w:val="32"/>
          <w:szCs w:val="32"/>
        </w:rPr>
        <w:t>吸入气雾剂</w:t>
      </w:r>
      <w:r w:rsidRPr="00DB3424">
        <w:rPr>
          <w:rFonts w:ascii="楷体" w:eastAsia="楷体" w:hAnsi="楷体"/>
          <w:bCs/>
          <w:kern w:val="0"/>
          <w:sz w:val="32"/>
          <w:szCs w:val="32"/>
        </w:rPr>
        <w:t>/</w:t>
      </w:r>
      <w:r w:rsidRPr="00DB3424">
        <w:rPr>
          <w:rFonts w:ascii="楷体" w:eastAsia="楷体" w:hAnsi="楷体" w:hint="eastAsia"/>
          <w:bCs/>
          <w:kern w:val="0"/>
          <w:sz w:val="32"/>
          <w:szCs w:val="32"/>
        </w:rPr>
        <w:t>吸入粉雾剂：</w:t>
      </w:r>
      <w:r w:rsidRPr="00DB3424">
        <w:rPr>
          <w:rFonts w:ascii="仿宋_GB2312" w:eastAsia="仿宋_GB2312" w:hAnsi="Times New Roman" w:hint="eastAsia"/>
          <w:sz w:val="32"/>
          <w:szCs w:val="32"/>
        </w:rPr>
        <w:t>建议注册批生产规模与拟定商业化生产规模一致。</w:t>
      </w:r>
    </w:p>
    <w:p w:rsidR="00935093" w:rsidRPr="00DB3424" w:rsidRDefault="00935093" w:rsidP="001E4EFA">
      <w:pPr>
        <w:autoSpaceDE w:val="0"/>
        <w:autoSpaceDN w:val="0"/>
        <w:adjustRightInd w:val="0"/>
        <w:ind w:firstLineChars="196" w:firstLine="627"/>
        <w:jc w:val="left"/>
        <w:rPr>
          <w:rFonts w:ascii="仿宋_GB2312" w:eastAsia="仿宋_GB2312" w:hAnsi="Times New Roman"/>
          <w:sz w:val="32"/>
          <w:szCs w:val="32"/>
        </w:rPr>
      </w:pPr>
      <w:r w:rsidRPr="00DB3424">
        <w:rPr>
          <w:rFonts w:ascii="楷体" w:eastAsia="楷体" w:hAnsi="楷体"/>
          <w:bCs/>
          <w:kern w:val="0"/>
          <w:sz w:val="32"/>
          <w:szCs w:val="32"/>
        </w:rPr>
        <w:t>4</w:t>
      </w:r>
      <w:r>
        <w:rPr>
          <w:rFonts w:ascii="楷体" w:eastAsia="楷体" w:hAnsi="楷体"/>
          <w:bCs/>
          <w:kern w:val="0"/>
          <w:sz w:val="32"/>
          <w:szCs w:val="32"/>
        </w:rPr>
        <w:t>.</w:t>
      </w:r>
      <w:r w:rsidRPr="00DB3424">
        <w:rPr>
          <w:rFonts w:ascii="楷体" w:eastAsia="楷体" w:hAnsi="楷体" w:hint="eastAsia"/>
          <w:bCs/>
          <w:kern w:val="0"/>
          <w:sz w:val="32"/>
          <w:szCs w:val="32"/>
        </w:rPr>
        <w:t>透皮贴剂：</w:t>
      </w:r>
      <w:r w:rsidRPr="00DB3424">
        <w:rPr>
          <w:rFonts w:ascii="仿宋_GB2312" w:eastAsia="仿宋_GB2312" w:hAnsi="Times New Roman" w:hint="eastAsia"/>
          <w:sz w:val="32"/>
          <w:szCs w:val="32"/>
        </w:rPr>
        <w:t>注册批三批均应至少达到拟定商业化生产规模的</w:t>
      </w:r>
      <w:r w:rsidRPr="00DB3424">
        <w:rPr>
          <w:rFonts w:ascii="仿宋_GB2312" w:eastAsia="仿宋_GB2312" w:hAnsi="Times New Roman"/>
          <w:sz w:val="32"/>
          <w:szCs w:val="32"/>
        </w:rPr>
        <w:t>10%</w:t>
      </w:r>
      <w:r w:rsidRPr="00DB3424">
        <w:rPr>
          <w:rFonts w:ascii="仿宋_GB2312" w:eastAsia="仿宋_GB2312" w:hAnsi="Times New Roman" w:hint="eastAsia"/>
          <w:sz w:val="32"/>
          <w:szCs w:val="32"/>
        </w:rPr>
        <w:t>（包装后），或者</w:t>
      </w:r>
      <w:r w:rsidRPr="00DB3424">
        <w:rPr>
          <w:rFonts w:ascii="仿宋_GB2312" w:eastAsia="仿宋_GB2312" w:hAnsi="Times New Roman"/>
          <w:sz w:val="32"/>
          <w:szCs w:val="32"/>
        </w:rPr>
        <w:t>25,000</w:t>
      </w:r>
      <w:r w:rsidRPr="00DB3424">
        <w:rPr>
          <w:rFonts w:ascii="仿宋_GB2312" w:eastAsia="仿宋_GB2312" w:hAnsi="Times New Roman" w:hint="eastAsia"/>
          <w:sz w:val="32"/>
          <w:szCs w:val="32"/>
        </w:rPr>
        <w:t>个制剂单位（每种规格），</w:t>
      </w:r>
      <w:r w:rsidRPr="00DB3424">
        <w:rPr>
          <w:rFonts w:ascii="仿宋_GB2312" w:eastAsia="仿宋_GB2312" w:hAnsi="Times New Roman" w:hint="eastAsia"/>
          <w:bCs/>
          <w:sz w:val="32"/>
          <w:szCs w:val="32"/>
        </w:rPr>
        <w:t>两者中选更多的</w:t>
      </w:r>
      <w:r w:rsidRPr="00DB3424">
        <w:rPr>
          <w:rFonts w:ascii="仿宋_GB2312" w:eastAsia="仿宋_GB2312" w:hAnsi="Times New Roman" w:hint="eastAsia"/>
          <w:sz w:val="32"/>
          <w:szCs w:val="32"/>
        </w:rPr>
        <w:t>。对于骨架型产品，以透皮贴片大小（表面积）来确定不同规格时，建议申报时提交采用三批骨架层生产的贴片研究数据。</w:t>
      </w:r>
    </w:p>
    <w:p w:rsidR="00935093" w:rsidRPr="00DB3424" w:rsidRDefault="00935093" w:rsidP="001E4EFA">
      <w:pPr>
        <w:autoSpaceDE w:val="0"/>
        <w:autoSpaceDN w:val="0"/>
        <w:adjustRightInd w:val="0"/>
        <w:ind w:firstLineChars="196" w:firstLine="627"/>
        <w:jc w:val="left"/>
        <w:rPr>
          <w:rFonts w:ascii="仿宋_GB2312" w:eastAsia="仿宋_GB2312" w:hAnsi="Times New Roman"/>
          <w:sz w:val="32"/>
          <w:szCs w:val="32"/>
        </w:rPr>
      </w:pPr>
      <w:r w:rsidRPr="00DB3424">
        <w:rPr>
          <w:rFonts w:ascii="楷体" w:eastAsia="楷体" w:hAnsi="楷体"/>
          <w:bCs/>
          <w:kern w:val="0"/>
          <w:sz w:val="32"/>
          <w:szCs w:val="32"/>
        </w:rPr>
        <w:t>5</w:t>
      </w:r>
      <w:r>
        <w:rPr>
          <w:rFonts w:ascii="楷体" w:eastAsia="楷体" w:hAnsi="楷体"/>
          <w:bCs/>
          <w:kern w:val="0"/>
          <w:sz w:val="32"/>
          <w:szCs w:val="32"/>
        </w:rPr>
        <w:t>.</w:t>
      </w:r>
      <w:r w:rsidRPr="00DB3424">
        <w:rPr>
          <w:rFonts w:ascii="楷体" w:eastAsia="楷体" w:hAnsi="楷体" w:hint="eastAsia"/>
          <w:bCs/>
          <w:kern w:val="0"/>
          <w:sz w:val="32"/>
          <w:szCs w:val="32"/>
        </w:rPr>
        <w:t>乳膏剂</w:t>
      </w:r>
      <w:r w:rsidRPr="00DB3424">
        <w:rPr>
          <w:rFonts w:ascii="楷体" w:eastAsia="楷体" w:hAnsi="楷体"/>
          <w:bCs/>
          <w:kern w:val="0"/>
          <w:sz w:val="32"/>
          <w:szCs w:val="32"/>
        </w:rPr>
        <w:t>/</w:t>
      </w:r>
      <w:r w:rsidRPr="00DB3424">
        <w:rPr>
          <w:rFonts w:ascii="楷体" w:eastAsia="楷体" w:hAnsi="楷体" w:hint="eastAsia"/>
          <w:bCs/>
          <w:kern w:val="0"/>
          <w:sz w:val="32"/>
          <w:szCs w:val="32"/>
        </w:rPr>
        <w:t>软膏剂</w:t>
      </w:r>
      <w:r w:rsidRPr="00DB3424">
        <w:rPr>
          <w:rFonts w:ascii="楷体" w:eastAsia="楷体" w:hAnsi="楷体"/>
          <w:bCs/>
          <w:kern w:val="0"/>
          <w:sz w:val="32"/>
          <w:szCs w:val="32"/>
        </w:rPr>
        <w:t>/</w:t>
      </w:r>
      <w:r w:rsidRPr="00DB3424">
        <w:rPr>
          <w:rFonts w:ascii="楷体" w:eastAsia="楷体" w:hAnsi="楷体" w:hint="eastAsia"/>
          <w:bCs/>
          <w:kern w:val="0"/>
          <w:sz w:val="32"/>
          <w:szCs w:val="32"/>
        </w:rPr>
        <w:t>凝胶剂</w:t>
      </w:r>
      <w:r w:rsidRPr="00DB3424">
        <w:rPr>
          <w:rFonts w:ascii="楷体" w:eastAsia="楷体" w:hAnsi="楷体"/>
          <w:bCs/>
          <w:kern w:val="0"/>
          <w:sz w:val="32"/>
          <w:szCs w:val="32"/>
        </w:rPr>
        <w:t>/</w:t>
      </w:r>
      <w:r w:rsidRPr="00DB3424">
        <w:rPr>
          <w:rFonts w:ascii="楷体" w:eastAsia="楷体" w:hAnsi="楷体" w:hint="eastAsia"/>
          <w:bCs/>
          <w:kern w:val="0"/>
          <w:sz w:val="32"/>
          <w:szCs w:val="32"/>
        </w:rPr>
        <w:t>栓剂：</w:t>
      </w:r>
      <w:r w:rsidRPr="00DB3424">
        <w:rPr>
          <w:rFonts w:ascii="仿宋_GB2312" w:eastAsia="仿宋_GB2312" w:hAnsi="Times New Roman" w:hint="eastAsia"/>
          <w:sz w:val="32"/>
          <w:szCs w:val="32"/>
        </w:rPr>
        <w:t>对于非无菌制剂，注册批三批均应至少达到</w:t>
      </w:r>
      <w:r w:rsidRPr="00DB3424">
        <w:rPr>
          <w:rFonts w:ascii="仿宋_GB2312" w:eastAsia="仿宋_GB2312" w:hAnsi="Times New Roman"/>
          <w:sz w:val="32"/>
          <w:szCs w:val="32"/>
        </w:rPr>
        <w:t>100kg</w:t>
      </w:r>
      <w:r w:rsidRPr="00DB3424">
        <w:rPr>
          <w:rFonts w:ascii="仿宋_GB2312" w:eastAsia="仿宋_GB2312" w:hAnsi="Times New Roman" w:hint="eastAsia"/>
          <w:sz w:val="32"/>
          <w:szCs w:val="32"/>
        </w:rPr>
        <w:t>或者拟定商业化生产规模的</w:t>
      </w:r>
      <w:r w:rsidRPr="00DB3424">
        <w:rPr>
          <w:rFonts w:ascii="仿宋_GB2312" w:eastAsia="仿宋_GB2312" w:hAnsi="Times New Roman"/>
          <w:sz w:val="32"/>
          <w:szCs w:val="32"/>
        </w:rPr>
        <w:t>10%</w:t>
      </w:r>
      <w:r w:rsidRPr="00DB3424">
        <w:rPr>
          <w:rFonts w:ascii="仿宋_GB2312" w:eastAsia="仿宋_GB2312" w:hAnsi="Times New Roman" w:hint="eastAsia"/>
          <w:sz w:val="32"/>
          <w:szCs w:val="32"/>
        </w:rPr>
        <w:t>，</w:t>
      </w:r>
      <w:r w:rsidRPr="00DB3424">
        <w:rPr>
          <w:rFonts w:ascii="仿宋_GB2312" w:eastAsia="仿宋_GB2312" w:hAnsi="Times New Roman" w:hint="eastAsia"/>
          <w:bCs/>
          <w:sz w:val="32"/>
          <w:szCs w:val="32"/>
        </w:rPr>
        <w:t>两者中选更多的</w:t>
      </w:r>
      <w:r w:rsidRPr="00DB3424">
        <w:rPr>
          <w:rFonts w:ascii="仿宋_GB2312" w:eastAsia="仿宋_GB2312" w:hAnsi="Times New Roman" w:hint="eastAsia"/>
          <w:sz w:val="32"/>
          <w:szCs w:val="32"/>
        </w:rPr>
        <w:t>（包装后）。</w:t>
      </w:r>
    </w:p>
    <w:p w:rsidR="00935093" w:rsidRPr="00DB3424" w:rsidRDefault="00935093" w:rsidP="001E4EFA">
      <w:pPr>
        <w:autoSpaceDE w:val="0"/>
        <w:autoSpaceDN w:val="0"/>
        <w:adjustRightInd w:val="0"/>
        <w:ind w:firstLineChars="196" w:firstLine="627"/>
        <w:jc w:val="left"/>
        <w:rPr>
          <w:rFonts w:ascii="楷体" w:eastAsia="楷体" w:hAnsi="楷体"/>
          <w:bCs/>
          <w:kern w:val="0"/>
          <w:sz w:val="32"/>
          <w:szCs w:val="32"/>
        </w:rPr>
      </w:pPr>
      <w:r w:rsidRPr="00DB3424">
        <w:rPr>
          <w:rFonts w:ascii="楷体" w:eastAsia="楷体" w:hAnsi="楷体"/>
          <w:bCs/>
          <w:kern w:val="0"/>
          <w:sz w:val="32"/>
          <w:szCs w:val="32"/>
        </w:rPr>
        <w:t>6</w:t>
      </w:r>
      <w:r>
        <w:rPr>
          <w:rFonts w:ascii="楷体" w:eastAsia="楷体" w:hAnsi="楷体"/>
          <w:bCs/>
          <w:kern w:val="0"/>
          <w:sz w:val="32"/>
          <w:szCs w:val="32"/>
        </w:rPr>
        <w:t>.</w:t>
      </w:r>
      <w:r w:rsidRPr="00DB3424">
        <w:rPr>
          <w:rFonts w:ascii="楷体" w:eastAsia="楷体" w:hAnsi="楷体" w:hint="eastAsia"/>
          <w:bCs/>
          <w:kern w:val="0"/>
          <w:sz w:val="32"/>
          <w:szCs w:val="32"/>
        </w:rPr>
        <w:t>其他：</w:t>
      </w:r>
      <w:r w:rsidRPr="00DB3424">
        <w:rPr>
          <w:rFonts w:ascii="仿宋_GB2312" w:eastAsia="仿宋_GB2312" w:hAnsi="Times New Roman" w:hint="eastAsia"/>
          <w:bCs/>
          <w:sz w:val="32"/>
          <w:szCs w:val="32"/>
        </w:rPr>
        <w:t>对于本文未涉及的其他制剂类型，其仿制药注册批生产规模可参照相关国际通行技术指南执行。</w:t>
      </w:r>
      <w:r w:rsidRPr="00DB3424">
        <w:rPr>
          <w:rFonts w:ascii="仿宋_GB2312" w:eastAsia="仿宋_GB2312" w:hAnsi="Times New Roman" w:hint="eastAsia"/>
          <w:sz w:val="32"/>
          <w:szCs w:val="32"/>
        </w:rPr>
        <w:t>对于以下情况，其仿制药注册批生产规模可低于上述要求：（</w:t>
      </w:r>
      <w:r w:rsidRPr="00DB3424">
        <w:rPr>
          <w:rFonts w:ascii="仿宋_GB2312" w:eastAsia="仿宋_GB2312" w:hAnsi="Times New Roman"/>
          <w:sz w:val="32"/>
          <w:szCs w:val="32"/>
        </w:rPr>
        <w:t>1</w:t>
      </w:r>
      <w:r w:rsidRPr="00DB3424">
        <w:rPr>
          <w:rFonts w:ascii="仿宋_GB2312" w:eastAsia="仿宋_GB2312" w:hAnsi="Times New Roman" w:hint="eastAsia"/>
          <w:sz w:val="32"/>
          <w:szCs w:val="32"/>
        </w:rPr>
        <w:t>）经国家相关部门确定为用于罕见病治疗的药物制剂；（</w:t>
      </w:r>
      <w:r w:rsidRPr="00DB3424">
        <w:rPr>
          <w:rFonts w:ascii="仿宋_GB2312" w:eastAsia="仿宋_GB2312" w:hAnsi="Times New Roman"/>
          <w:sz w:val="32"/>
          <w:szCs w:val="32"/>
        </w:rPr>
        <w:t>2</w:t>
      </w:r>
      <w:r w:rsidRPr="00DB3424">
        <w:rPr>
          <w:rFonts w:ascii="仿宋_GB2312" w:eastAsia="仿宋_GB2312" w:hAnsi="Times New Roman" w:hint="eastAsia"/>
          <w:sz w:val="32"/>
          <w:szCs w:val="32"/>
        </w:rPr>
        <w:t>）按国家规定进行管制的药物制剂。</w:t>
      </w:r>
    </w:p>
    <w:p w:rsidR="00935093" w:rsidRPr="00754B59" w:rsidRDefault="00935093" w:rsidP="00754B59">
      <w:pPr>
        <w:autoSpaceDE w:val="0"/>
        <w:autoSpaceDN w:val="0"/>
        <w:adjustRightInd w:val="0"/>
        <w:ind w:firstLineChars="196" w:firstLine="627"/>
        <w:jc w:val="left"/>
        <w:rPr>
          <w:rFonts w:ascii="仿宋_GB2312" w:eastAsia="仿宋_GB2312" w:hAnsi="Times New Roman"/>
          <w:sz w:val="32"/>
          <w:szCs w:val="32"/>
        </w:rPr>
      </w:pPr>
      <w:r w:rsidRPr="00DB3424">
        <w:rPr>
          <w:rFonts w:ascii="仿宋_GB2312" w:eastAsia="仿宋_GB2312" w:hAnsi="Times New Roman" w:hint="eastAsia"/>
          <w:sz w:val="32"/>
          <w:szCs w:val="32"/>
        </w:rPr>
        <w:t>如有其它特殊原因（商业因素除外）无法满足上述基本要求的，建议申报前与监管机构进行沟通。</w:t>
      </w:r>
    </w:p>
    <w:sectPr w:rsidR="00935093" w:rsidRPr="00754B59" w:rsidSect="0080591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093" w:rsidRDefault="00935093">
      <w:r>
        <w:separator/>
      </w:r>
    </w:p>
  </w:endnote>
  <w:endnote w:type="continuationSeparator" w:id="0">
    <w:p w:rsidR="00935093" w:rsidRDefault="009350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93" w:rsidRDefault="009350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93" w:rsidRDefault="009350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93" w:rsidRDefault="009350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093" w:rsidRDefault="00935093">
      <w:r>
        <w:separator/>
      </w:r>
    </w:p>
  </w:footnote>
  <w:footnote w:type="continuationSeparator" w:id="0">
    <w:p w:rsidR="00935093" w:rsidRDefault="009350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93" w:rsidRDefault="009350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93" w:rsidRDefault="00935093" w:rsidP="00754B59">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93" w:rsidRDefault="009350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6A9E"/>
    <w:rsid w:val="001679B7"/>
    <w:rsid w:val="001E4EFA"/>
    <w:rsid w:val="004B6A9E"/>
    <w:rsid w:val="00550D37"/>
    <w:rsid w:val="00754B59"/>
    <w:rsid w:val="00805914"/>
    <w:rsid w:val="00935093"/>
    <w:rsid w:val="00AF509D"/>
    <w:rsid w:val="00CB6DFD"/>
    <w:rsid w:val="00DB342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91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rsid w:val="001E4EFA"/>
    <w:pPr>
      <w:ind w:leftChars="2500" w:left="100"/>
    </w:pPr>
  </w:style>
  <w:style w:type="character" w:customStyle="1" w:styleId="DateChar">
    <w:name w:val="Date Char"/>
    <w:basedOn w:val="DefaultParagraphFont"/>
    <w:link w:val="Date"/>
    <w:uiPriority w:val="99"/>
    <w:semiHidden/>
    <w:locked/>
    <w:rsid w:val="001E4EFA"/>
    <w:rPr>
      <w:rFonts w:cs="Times New Roman"/>
    </w:rPr>
  </w:style>
  <w:style w:type="paragraph" w:styleId="Header">
    <w:name w:val="header"/>
    <w:basedOn w:val="Normal"/>
    <w:link w:val="HeaderChar"/>
    <w:uiPriority w:val="99"/>
    <w:rsid w:val="00754B5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2E0AAA"/>
    <w:rPr>
      <w:sz w:val="18"/>
      <w:szCs w:val="18"/>
    </w:rPr>
  </w:style>
  <w:style w:type="paragraph" w:styleId="Footer">
    <w:name w:val="footer"/>
    <w:basedOn w:val="Normal"/>
    <w:link w:val="FooterChar"/>
    <w:uiPriority w:val="99"/>
    <w:rsid w:val="00754B5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2E0AAA"/>
    <w:rPr>
      <w:sz w:val="18"/>
      <w:szCs w:val="18"/>
    </w:rPr>
  </w:style>
</w:styles>
</file>

<file path=word/webSettings.xml><?xml version="1.0" encoding="utf-8"?>
<w:webSettings xmlns:r="http://schemas.openxmlformats.org/officeDocument/2006/relationships" xmlns:w="http://schemas.openxmlformats.org/wordprocessingml/2006/main">
  <w:divs>
    <w:div w:id="10949404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165</Words>
  <Characters>941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化学仿制药注册批生产规模的一般性要求（试行）</dc:title>
  <dc:subject/>
  <dc:creator>admin</dc:creator>
  <cp:keywords/>
  <dc:description/>
  <cp:lastModifiedBy>admin</cp:lastModifiedBy>
  <cp:revision>2</cp:revision>
  <dcterms:created xsi:type="dcterms:W3CDTF">2018-07-18T03:06:00Z</dcterms:created>
  <dcterms:modified xsi:type="dcterms:W3CDTF">2018-07-18T03:06:00Z</dcterms:modified>
</cp:coreProperties>
</file>