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药品说明书适老化改革试点参与方式及办理流程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20" w:lineRule="atLeast"/>
        <w:ind w:left="0" w:right="0" w:firstLine="0"/>
        <w:jc w:val="both"/>
        <w:rPr>
          <w:rFonts w:hint="default" w:ascii="方正仿宋_GB2312" w:hAnsi="方正仿宋_GB2312" w:eastAsia="方正仿宋_GB2312" w:cs="方正仿宋_GB2312"/>
          <w:kern w:val="2"/>
          <w:sz w:val="32"/>
          <w:szCs w:val="40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1.药品说明书适老化改革试点参与方式</w:t>
      </w:r>
    </w:p>
    <w:tbl>
      <w:tblPr>
        <w:tblStyle w:val="4"/>
        <w:tblpPr w:leftFromText="180" w:rightFromText="180" w:vertAnchor="text" w:horzAnchor="page" w:tblpX="1647" w:tblpY="306"/>
        <w:tblOverlap w:val="never"/>
        <w:tblW w:w="13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50"/>
        <w:gridCol w:w="5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方式</w:t>
            </w:r>
          </w:p>
        </w:tc>
        <w:tc>
          <w:tcPr>
            <w:tcW w:w="7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内容说明</w:t>
            </w:r>
          </w:p>
        </w:tc>
        <w:tc>
          <w:tcPr>
            <w:tcW w:w="5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2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方式一</w:t>
            </w:r>
          </w:p>
        </w:tc>
        <w:tc>
          <w:tcPr>
            <w:tcW w:w="7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提供纸质药品说明书（大字版），内容与完整版一致，仅字体加大加粗。鼓励同时提供电子说明书（完整版）</w:t>
            </w:r>
          </w:p>
        </w:tc>
        <w:tc>
          <w:tcPr>
            <w:tcW w:w="53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纸质说明书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按照《药品说明书（简化版）及药品说明书（大字版）编写指南》编制；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电子药品说明书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（完整版）格式应当符合《电子药品说明书（完整版）格式要求》内容应当准确并与药品监管部门核准的最新版本药品说明书一致。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2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方式二</w:t>
            </w:r>
          </w:p>
        </w:tc>
        <w:tc>
          <w:tcPr>
            <w:tcW w:w="7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提供纸质药品说明书（完整版），同时提供电子药品说明书（完整版）</w:t>
            </w:r>
          </w:p>
        </w:tc>
        <w:tc>
          <w:tcPr>
            <w:tcW w:w="53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12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方式三</w:t>
            </w:r>
          </w:p>
        </w:tc>
        <w:tc>
          <w:tcPr>
            <w:tcW w:w="7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提供纸质药品说明书（简化版），同时提供电子药品说明书（完整版）。简化版原文引用完整版部分项目，只涉及字体、格式的调整，不对内容进行修改。</w:t>
            </w:r>
          </w:p>
        </w:tc>
        <w:tc>
          <w:tcPr>
            <w:tcW w:w="53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37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补充：鼓励持有人提供药品说明书、标签的语音播报服务、盲文信息，满足老年人、盲人和其他有视力障碍患者的安全用药需求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黑体" w:hAnsi="黑体" w:eastAsia="黑体" w:cs="黑体"/>
          <w:kern w:val="2"/>
          <w:sz w:val="32"/>
          <w:szCs w:val="40"/>
          <w:lang w:val="en-US" w:eastAsia="zh-CN" w:bidi="ar-SA"/>
        </w:rPr>
      </w:pPr>
      <w:r>
        <w:rPr>
          <w:rFonts w:hint="default" w:ascii="黑体" w:hAnsi="黑体" w:eastAsia="黑体" w:cs="黑体"/>
          <w:kern w:val="2"/>
          <w:sz w:val="32"/>
          <w:szCs w:val="40"/>
          <w:lang w:val="en-US" w:eastAsia="zh-CN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528955</wp:posOffset>
            </wp:positionV>
            <wp:extent cx="4669790" cy="7505065"/>
            <wp:effectExtent l="0" t="0" r="16510" b="635"/>
            <wp:wrapTopAndBottom/>
            <wp:docPr id="3" name="图片 3" descr="exported_imag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xported_image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9790" cy="750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2.药品说明书适老化改革试点办理流程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10DD6"/>
    <w:rsid w:val="01210DD6"/>
    <w:rsid w:val="082E3752"/>
    <w:rsid w:val="230F4A29"/>
    <w:rsid w:val="4F565683"/>
    <w:rsid w:val="7106459A"/>
    <w:rsid w:val="77E30E4C"/>
    <w:rsid w:val="CF29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2026-07-01T21:12:00Z</dcterms:created>
  <dc:creator>比丽克孜</dc:creator>
  <cp:lastModifiedBy>yjj175</cp:lastModifiedBy>
  <dcterms:modified xsi:type="dcterms:W3CDTF">2026-08-31T14:06:11Z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