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jc w:val="both"/>
        <w:textAlignment w:val="baseline"/>
      </w:pPr>
    </w:p>
    <w:p>
      <w:pPr>
        <w:keepNext w:val="0"/>
        <w:keepLines w:val="0"/>
        <w:pageBreakBefore w:val="0"/>
        <w:widowControl w:val="0"/>
        <w:kinsoku/>
        <w:wordWrap/>
        <w:overflowPunct/>
        <w:topLinePunct w:val="0"/>
        <w:autoSpaceDE/>
        <w:autoSpaceDN/>
        <w:bidi w:val="0"/>
        <w:adjustRightInd w:val="0"/>
        <w:snapToGrid/>
        <w:jc w:val="both"/>
        <w:textAlignment w:val="baseline"/>
      </w:pPr>
    </w:p>
    <w:p>
      <w:pPr>
        <w:keepNext w:val="0"/>
        <w:keepLines w:val="0"/>
        <w:pageBreakBefore w:val="0"/>
        <w:widowControl w:val="0"/>
        <w:kinsoku/>
        <w:wordWrap/>
        <w:overflowPunct/>
        <w:topLinePunct w:val="0"/>
        <w:autoSpaceDE/>
        <w:autoSpaceDN/>
        <w:bidi w:val="0"/>
        <w:adjustRightInd w:val="0"/>
        <w:snapToGrid/>
        <w:jc w:val="both"/>
        <w:textAlignment w:val="baseline"/>
      </w:pPr>
    </w:p>
    <w:p>
      <w:pPr>
        <w:keepNext w:val="0"/>
        <w:keepLines w:val="0"/>
        <w:pageBreakBefore w:val="0"/>
        <w:widowControl w:val="0"/>
        <w:kinsoku/>
        <w:wordWrap/>
        <w:overflowPunct/>
        <w:topLinePunct w:val="0"/>
        <w:autoSpaceDE/>
        <w:autoSpaceDN/>
        <w:bidi w:val="0"/>
        <w:adjustRightInd w:val="0"/>
        <w:snapToGrid/>
        <w:jc w:val="both"/>
        <w:textAlignment w:val="baseline"/>
      </w:pPr>
    </w:p>
    <w:p>
      <w:pPr>
        <w:keepNext w:val="0"/>
        <w:keepLines w:val="0"/>
        <w:pageBreakBefore w:val="0"/>
        <w:widowControl w:val="0"/>
        <w:kinsoku/>
        <w:wordWrap/>
        <w:overflowPunct/>
        <w:topLinePunct w:val="0"/>
        <w:autoSpaceDE/>
        <w:autoSpaceDN/>
        <w:bidi w:val="0"/>
        <w:adjustRightInd w:val="0"/>
        <w:snapToGrid/>
        <w:spacing w:line="240" w:lineRule="auto"/>
        <w:ind w:left="0" w:leftChars="0" w:firstLine="0" w:firstLineChars="0"/>
        <w:jc w:val="center"/>
        <w:textAlignment w:val="baseline"/>
        <w:rPr>
          <w:rFonts w:hint="default" w:ascii="Times New Roman" w:hAnsi="Times New Roman" w:eastAsia="方正小标宋简体" w:cs="Times New Roman"/>
          <w:color w:val="auto"/>
          <w:spacing w:val="9"/>
          <w:sz w:val="52"/>
          <w:szCs w:val="52"/>
        </w:rPr>
      </w:pPr>
      <w:r>
        <w:rPr>
          <w:rFonts w:hint="default" w:ascii="Times New Roman" w:hAnsi="Times New Roman" w:eastAsia="方正小标宋简体" w:cs="Times New Roman"/>
          <w:color w:val="auto"/>
          <w:spacing w:val="9"/>
          <w:sz w:val="52"/>
          <w:szCs w:val="52"/>
          <w:lang w:eastAsia="zh-CN"/>
        </w:rPr>
        <w:t>2025年自治区药品监管补助</w:t>
      </w:r>
      <w:r>
        <w:rPr>
          <w:rFonts w:hint="default" w:ascii="Times New Roman" w:hAnsi="Times New Roman" w:eastAsia="方正小标宋简体" w:cs="Times New Roman"/>
          <w:color w:val="auto"/>
          <w:spacing w:val="9"/>
          <w:sz w:val="52"/>
          <w:szCs w:val="52"/>
        </w:rPr>
        <w:t>项目支出绩效评价报告</w:t>
      </w:r>
    </w:p>
    <w:p>
      <w:pPr>
        <w:keepNext w:val="0"/>
        <w:keepLines w:val="0"/>
        <w:pageBreakBefore w:val="0"/>
        <w:widowControl w:val="0"/>
        <w:kinsoku/>
        <w:wordWrap/>
        <w:overflowPunct/>
        <w:topLinePunct w:val="0"/>
        <w:autoSpaceDE/>
        <w:autoSpaceDN/>
        <w:bidi w:val="0"/>
        <w:adjustRightInd w:val="0"/>
        <w:snapToGrid/>
        <w:jc w:val="center"/>
        <w:textAlignment w:val="baseline"/>
      </w:pPr>
    </w:p>
    <w:p>
      <w:pPr>
        <w:keepNext w:val="0"/>
        <w:keepLines w:val="0"/>
        <w:pageBreakBefore w:val="0"/>
        <w:widowControl w:val="0"/>
        <w:kinsoku/>
        <w:wordWrap/>
        <w:overflowPunct/>
        <w:topLinePunct w:val="0"/>
        <w:autoSpaceDE/>
        <w:autoSpaceDN/>
        <w:bidi w:val="0"/>
        <w:adjustRightInd w:val="0"/>
        <w:snapToGrid/>
        <w:jc w:val="center"/>
        <w:textAlignment w:val="baseline"/>
        <w:rPr>
          <w:rFonts w:eastAsia="楷体_GB2312"/>
          <w:sz w:val="36"/>
          <w:szCs w:val="36"/>
        </w:rPr>
      </w:pPr>
      <w:r>
        <w:rPr>
          <w:rFonts w:eastAsia="楷体_GB2312"/>
          <w:sz w:val="36"/>
          <w:szCs w:val="36"/>
        </w:rPr>
        <w:t>（202</w:t>
      </w:r>
      <w:r>
        <w:rPr>
          <w:rFonts w:hint="eastAsia" w:eastAsia="楷体_GB2312"/>
          <w:sz w:val="36"/>
          <w:szCs w:val="36"/>
          <w:lang w:val="en-US" w:eastAsia="zh-CN"/>
        </w:rPr>
        <w:t>5</w:t>
      </w:r>
      <w:r>
        <w:rPr>
          <w:rFonts w:eastAsia="楷体_GB2312"/>
          <w:sz w:val="36"/>
          <w:szCs w:val="36"/>
        </w:rPr>
        <w:t>年度）</w:t>
      </w:r>
    </w:p>
    <w:p>
      <w:pPr>
        <w:keepNext w:val="0"/>
        <w:keepLines w:val="0"/>
        <w:pageBreakBefore w:val="0"/>
        <w:widowControl w:val="0"/>
        <w:kinsoku/>
        <w:wordWrap/>
        <w:overflowPunct/>
        <w:topLinePunct w:val="0"/>
        <w:autoSpaceDE/>
        <w:autoSpaceDN/>
        <w:bidi w:val="0"/>
        <w:adjustRightInd w:val="0"/>
        <w:snapToGrid/>
        <w:ind w:firstLine="316" w:firstLineChars="100"/>
        <w:jc w:val="both"/>
        <w:textAlignment w:val="baseline"/>
      </w:pPr>
    </w:p>
    <w:p>
      <w:pPr>
        <w:keepNext w:val="0"/>
        <w:keepLines w:val="0"/>
        <w:pageBreakBefore w:val="0"/>
        <w:widowControl w:val="0"/>
        <w:kinsoku/>
        <w:wordWrap/>
        <w:overflowPunct/>
        <w:topLinePunct w:val="0"/>
        <w:autoSpaceDE/>
        <w:autoSpaceDN/>
        <w:bidi w:val="0"/>
        <w:adjustRightInd w:val="0"/>
        <w:snapToGrid/>
        <w:ind w:firstLine="316" w:firstLineChars="100"/>
        <w:jc w:val="both"/>
        <w:textAlignment w:val="baseline"/>
      </w:pPr>
    </w:p>
    <w:p>
      <w:pPr>
        <w:keepNext w:val="0"/>
        <w:keepLines w:val="0"/>
        <w:pageBreakBefore w:val="0"/>
        <w:widowControl w:val="0"/>
        <w:kinsoku/>
        <w:wordWrap/>
        <w:overflowPunct/>
        <w:topLinePunct w:val="0"/>
        <w:autoSpaceDE/>
        <w:autoSpaceDN/>
        <w:bidi w:val="0"/>
        <w:adjustRightInd w:val="0"/>
        <w:snapToGrid/>
        <w:ind w:firstLine="316" w:firstLineChars="100"/>
        <w:jc w:val="both"/>
        <w:textAlignment w:val="baseline"/>
      </w:pPr>
    </w:p>
    <w:p>
      <w:pPr>
        <w:keepNext w:val="0"/>
        <w:keepLines w:val="0"/>
        <w:pageBreakBefore w:val="0"/>
        <w:widowControl w:val="0"/>
        <w:kinsoku/>
        <w:wordWrap/>
        <w:overflowPunct/>
        <w:topLinePunct w:val="0"/>
        <w:autoSpaceDE/>
        <w:autoSpaceDN/>
        <w:bidi w:val="0"/>
        <w:adjustRightInd w:val="0"/>
        <w:snapToGrid/>
        <w:ind w:firstLine="316" w:firstLineChars="100"/>
        <w:jc w:val="both"/>
        <w:textAlignment w:val="baseline"/>
      </w:pPr>
    </w:p>
    <w:p>
      <w:pPr>
        <w:keepNext w:val="0"/>
        <w:keepLines w:val="0"/>
        <w:pageBreakBefore w:val="0"/>
        <w:widowControl w:val="0"/>
        <w:kinsoku/>
        <w:wordWrap/>
        <w:overflowPunct/>
        <w:topLinePunct w:val="0"/>
        <w:autoSpaceDE/>
        <w:autoSpaceDN/>
        <w:bidi w:val="0"/>
        <w:adjustRightInd w:val="0"/>
        <w:snapToGrid/>
        <w:ind w:firstLine="316" w:firstLineChars="100"/>
        <w:jc w:val="both"/>
        <w:textAlignment w:val="baseline"/>
      </w:pPr>
    </w:p>
    <w:p>
      <w:pPr>
        <w:keepNext w:val="0"/>
        <w:keepLines w:val="0"/>
        <w:pageBreakBefore w:val="0"/>
        <w:widowControl w:val="0"/>
        <w:kinsoku/>
        <w:wordWrap/>
        <w:overflowPunct/>
        <w:topLinePunct w:val="0"/>
        <w:autoSpaceDE/>
        <w:autoSpaceDN/>
        <w:bidi w:val="0"/>
        <w:adjustRightInd w:val="0"/>
        <w:snapToGrid/>
        <w:ind w:firstLine="316" w:firstLineChars="100"/>
        <w:jc w:val="both"/>
        <w:textAlignment w:val="baseline"/>
      </w:pPr>
    </w:p>
    <w:p>
      <w:pPr>
        <w:keepNext w:val="0"/>
        <w:keepLines w:val="0"/>
        <w:pageBreakBefore w:val="0"/>
        <w:widowControl w:val="0"/>
        <w:kinsoku/>
        <w:wordWrap/>
        <w:overflowPunct/>
        <w:topLinePunct w:val="0"/>
        <w:autoSpaceDE/>
        <w:autoSpaceDN/>
        <w:bidi w:val="0"/>
        <w:adjustRightInd w:val="0"/>
        <w:snapToGrid/>
        <w:ind w:firstLine="316" w:firstLineChars="100"/>
        <w:jc w:val="both"/>
        <w:textAlignment w:val="baseline"/>
      </w:pPr>
    </w:p>
    <w:p>
      <w:pPr>
        <w:keepNext w:val="0"/>
        <w:keepLines w:val="0"/>
        <w:pageBreakBefore w:val="0"/>
        <w:widowControl w:val="0"/>
        <w:kinsoku/>
        <w:wordWrap/>
        <w:overflowPunct/>
        <w:topLinePunct w:val="0"/>
        <w:autoSpaceDE/>
        <w:autoSpaceDN/>
        <w:bidi w:val="0"/>
        <w:adjustRightInd w:val="0"/>
        <w:snapToGrid/>
        <w:ind w:firstLine="316" w:firstLineChars="100"/>
        <w:jc w:val="both"/>
        <w:textAlignment w:val="baseline"/>
      </w:pPr>
      <w:r>
        <w:rPr>
          <w:rFonts w:hint="eastAsia"/>
          <w:lang w:eastAsia="zh-CN"/>
        </w:rPr>
        <w:t>部门单位名称</w:t>
      </w:r>
      <w:r>
        <w:t>（公章）：</w:t>
      </w:r>
      <w:r>
        <w:rPr>
          <w:rFonts w:hint="eastAsia"/>
          <w:lang w:eastAsia="zh-CN"/>
        </w:rPr>
        <w:t>新疆维吾尔自治区药品监督管理局</w:t>
      </w:r>
    </w:p>
    <w:p>
      <w:pPr>
        <w:keepNext w:val="0"/>
        <w:keepLines w:val="0"/>
        <w:pageBreakBefore w:val="0"/>
        <w:widowControl w:val="0"/>
        <w:kinsoku/>
        <w:wordWrap/>
        <w:overflowPunct/>
        <w:topLinePunct w:val="0"/>
        <w:autoSpaceDE/>
        <w:autoSpaceDN/>
        <w:bidi w:val="0"/>
        <w:adjustRightInd w:val="0"/>
        <w:snapToGrid/>
        <w:ind w:firstLine="316" w:firstLineChars="100"/>
        <w:jc w:val="both"/>
        <w:textAlignment w:val="baseline"/>
      </w:pPr>
      <w:r>
        <w:t>填报时间：202</w:t>
      </w:r>
      <w:r>
        <w:rPr>
          <w:rFonts w:hint="eastAsia"/>
          <w:lang w:val="en-US" w:eastAsia="zh-CN"/>
        </w:rPr>
        <w:t>6</w:t>
      </w:r>
      <w:r>
        <w:t>年</w:t>
      </w:r>
      <w:r>
        <w:rPr>
          <w:rFonts w:hint="eastAsia"/>
          <w:lang w:val="en-US" w:eastAsia="zh-CN"/>
        </w:rPr>
        <w:t>4</w:t>
      </w:r>
      <w:r>
        <w:t>月</w:t>
      </w:r>
      <w:r>
        <w:rPr>
          <w:rFonts w:hint="eastAsia"/>
          <w:lang w:val="en-US" w:eastAsia="zh-CN"/>
        </w:rPr>
        <w:t>12</w:t>
      </w:r>
      <w:r>
        <w:t>日</w:t>
      </w:r>
    </w:p>
    <w:p>
      <w:pPr>
        <w:keepNext w:val="0"/>
        <w:keepLines w:val="0"/>
        <w:pageBreakBefore w:val="0"/>
        <w:widowControl w:val="0"/>
        <w:kinsoku/>
        <w:wordWrap/>
        <w:overflowPunct/>
        <w:topLinePunct w:val="0"/>
        <w:autoSpaceDE/>
        <w:autoSpaceDN/>
        <w:bidi w:val="0"/>
        <w:adjustRightInd w:val="0"/>
        <w:snapToGrid/>
        <w:ind w:firstLine="316" w:firstLineChars="100"/>
        <w:jc w:val="both"/>
        <w:textAlignment w:val="baseline"/>
        <w:sectPr>
          <w:pgSz w:w="11906" w:h="16839"/>
          <w:pgMar w:top="2098" w:right="1531" w:bottom="1984" w:left="1531" w:header="0" w:footer="1531" w:gutter="0"/>
          <w:cols w:space="0" w:num="1"/>
          <w:rtlGutter w:val="0"/>
          <w:docGrid w:type="linesAndChars" w:linePitch="579" w:charSpace="-849"/>
        </w:sectPr>
      </w:pP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eastAsia="黑体"/>
          <w:highlight w:val="none"/>
        </w:rPr>
      </w:pPr>
      <w:bookmarkStart w:id="0" w:name="_GoBack"/>
      <w:r>
        <w:rPr>
          <w:rFonts w:eastAsia="黑体"/>
          <w:highlight w:val="none"/>
        </w:rPr>
        <w:t>一、基本情况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eastAsia="楷体_GB2312"/>
          <w:highlight w:val="none"/>
        </w:rPr>
      </w:pPr>
      <w:r>
        <w:rPr>
          <w:rFonts w:eastAsia="楷体_GB2312"/>
          <w:highlight w:val="none"/>
        </w:rPr>
        <w:t>（一）项目概况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highlight w:val="none"/>
        </w:rPr>
        <w:t>1</w:t>
      </w:r>
      <w:r>
        <w:rPr>
          <w:rFonts w:hint="eastAsia"/>
          <w:highlight w:val="none"/>
          <w:lang w:eastAsia="zh-CN"/>
        </w:rPr>
        <w:t>．</w:t>
      </w:r>
      <w:r>
        <w:rPr>
          <w:highlight w:val="none"/>
        </w:rPr>
        <w:t>项目背景</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highlight w:val="none"/>
          <w:lang w:eastAsia="zh-CN"/>
        </w:rPr>
      </w:pPr>
      <w:r>
        <w:rPr>
          <w:rFonts w:hint="eastAsia"/>
          <w:highlight w:val="none"/>
          <w:lang w:eastAsia="zh-CN"/>
        </w:rPr>
        <w:t>药品、医疗器械、化妆品安全直接关系人民群众的身体健康与生命安全，是重大的民生问题与公共安全事项。当前，随着医药健康产业的快速发展与公众健康需求的持续提升，加强 “两品一械” 质量安全监管，严守安全底线，已成为药品监管部门的核心职责与紧迫任务。</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highlight w:val="none"/>
          <w:lang w:eastAsia="zh-CN"/>
        </w:rPr>
      </w:pPr>
      <w:r>
        <w:rPr>
          <w:rFonts w:hint="eastAsia"/>
          <w:highlight w:val="none"/>
          <w:lang w:eastAsia="zh-CN"/>
        </w:rPr>
        <w:t>为深入贯彻落实 “四个最严” 工作要求，切实保障新疆维吾尔自治区各族群众用药用械用妆安全，新疆维吾尔自治区药品监督管理局积极履行监管职能，科学统筹、系统规划年度监督抽验工作，《</w:t>
      </w:r>
      <w:r>
        <w:rPr>
          <w:rFonts w:hint="eastAsia"/>
          <w:highlight w:val="none"/>
          <w:lang w:val="en-US" w:eastAsia="zh-CN"/>
        </w:rPr>
        <w:t>国家药局关于印发2024年国家药品抽检计划的通知</w:t>
      </w:r>
      <w:r>
        <w:rPr>
          <w:rFonts w:hint="eastAsia"/>
          <w:highlight w:val="none"/>
          <w:lang w:eastAsia="zh-CN"/>
        </w:rPr>
        <w:t>》（</w:t>
      </w:r>
      <w:r>
        <w:rPr>
          <w:rFonts w:hint="eastAsia"/>
          <w:highlight w:val="none"/>
          <w:lang w:val="en-US" w:eastAsia="zh-CN"/>
        </w:rPr>
        <w:t>国药监管〔2024〕1号</w:t>
      </w:r>
      <w:r>
        <w:rPr>
          <w:rFonts w:hint="eastAsia"/>
          <w:highlight w:val="none"/>
          <w:lang w:eastAsia="zh-CN"/>
        </w:rPr>
        <w:t>）</w:t>
      </w:r>
      <w:r>
        <w:rPr>
          <w:rFonts w:hint="eastAsia"/>
          <w:highlight w:val="none"/>
          <w:lang w:val="en-US" w:eastAsia="zh-CN"/>
        </w:rPr>
        <w:t>等文件要求，</w:t>
      </w:r>
      <w:r>
        <w:rPr>
          <w:rFonts w:hint="eastAsia"/>
          <w:highlight w:val="none"/>
          <w:lang w:eastAsia="zh-CN"/>
        </w:rPr>
        <w:t>工作以全面提高药品、医疗器械、化妆品安全水平为核心目标，严格遵循问题导向、重点突出、监检结合、三级联动的基本原则，旨在通过科学、规范、高效的监督抽验，进一步夯实全区 “两品一械” 抽检工作基础。</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highlight w:val="none"/>
          <w:lang w:eastAsia="zh-CN"/>
        </w:rPr>
      </w:pPr>
      <w:r>
        <w:rPr>
          <w:rFonts w:hint="eastAsia"/>
          <w:highlight w:val="none"/>
          <w:lang w:eastAsia="zh-CN"/>
        </w:rPr>
        <w:t>在实施过程中，坚持统一调度抽验任务、统一规范程序标准、统一数据分析利用，有效整合监管资源，形成监管合力新疆维吾尔自治区药品监督管理局。通过精准靶向抽检，强化对高风险产品、重点领域和关键环节的风险排查，充分发挥监督抽验在风险防控中的 “侦察兵” 作用与技术支撑作用。此举不仅能有效提升全区药品监管能力与科学化监管水平，更能以最严谨的标准、最严格的监管、最严厉的处罚、最严肃的问责，坚决守住全区不发生重大药品安全事故的底线，持续筑牢药品安全坚固防线，全力保障人民群众用药安全有效，为维护自治区社会稳定和健康事业高质量发展保驾护航。</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highlight w:val="none"/>
        </w:rPr>
        <w:t>2.项目主要内容及实施情况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highlight w:val="none"/>
        </w:rPr>
      </w:pPr>
      <w:r>
        <w:rPr>
          <w:highlight w:val="none"/>
        </w:rPr>
        <w:t>项目主要内容：</w:t>
      </w:r>
      <w:r>
        <w:rPr>
          <w:rFonts w:hint="eastAsia"/>
          <w:highlight w:val="none"/>
        </w:rPr>
        <w:t>通过对药品、医疗器械以及化妆品监督抽验安排，以提高药品、医疗器械、化妆品安全水平为核心，坚持问题导向、重点突出、监检结合和三级联动原则，进一步做好药品、医疗器械和化妆品抽检工作，统一调度抽验任务，统一规范程序标准，统一数据分析利用，有效发挥抽验工作的风险防控和技术支撑作用，努力提高监管能力和监管水平，以“四个最严”的要求保障药品安全，坚决守住全区不发生重大药品安全事故底线，解决筑牢药品安全底线，保障人民群众用药安全。</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highlight w:val="none"/>
          <w:lang w:val="en-US" w:eastAsia="en-US"/>
        </w:rPr>
      </w:pPr>
      <w:r>
        <w:rPr>
          <w:highlight w:val="none"/>
        </w:rPr>
        <w:t>项目实施情况：</w:t>
      </w:r>
      <w:r>
        <w:rPr>
          <w:rFonts w:hint="eastAsia"/>
          <w:highlight w:val="none"/>
          <w:lang w:val="en-US" w:eastAsia="en-US"/>
        </w:rPr>
        <w:t>完成药品监督检查安排2028次，医疗器械监督抽检安排215批，化妆品监督抽检安排165批等工作，实现了通过对药品、医疗器械以及化妆品监督抽验安排，以提高药品、医疗器械、化妆品安全水平为核心，坚持问题导向、重点突出、监检结合和三级联动原则，进一步做好药品、医疗器械和化妆品抽检工作，统一调度抽验任务，统一规范程序标准，统一数据分析利用，有效发挥抽验工作的风险防控和技术支撑作用，努力提高监管能力和监管水平，以“四个最严”的要求保障药品安全，坚决守住全区不发生重大药品安全事故底线，解决筑牢药品安全底线，保障人民群众用药安全。</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highlight w:val="none"/>
        </w:rPr>
        <w:t>3.资金投入和使用情况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highlight w:val="none"/>
        </w:rPr>
        <w:t>（1）资金投入情况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highlight w:val="none"/>
        </w:rPr>
        <w:t>该项目年初预算数</w:t>
      </w:r>
      <w:r>
        <w:rPr>
          <w:rFonts w:hint="eastAsia"/>
          <w:highlight w:val="none"/>
          <w:lang w:eastAsia="zh-CN"/>
        </w:rPr>
        <w:t>1600.00</w:t>
      </w:r>
      <w:r>
        <w:rPr>
          <w:highlight w:val="none"/>
        </w:rPr>
        <w:t>万元，全年预算数</w:t>
      </w:r>
      <w:r>
        <w:rPr>
          <w:rFonts w:hint="eastAsia"/>
          <w:highlight w:val="none"/>
          <w:lang w:eastAsia="zh-CN"/>
        </w:rPr>
        <w:t>1600.00</w:t>
      </w:r>
      <w:r>
        <w:rPr>
          <w:highlight w:val="none"/>
        </w:rPr>
        <w:t>万元，该项目资金已全部落实到位，资金来源为财政拨款。</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highlight w:val="none"/>
        </w:rPr>
        <w:t>（2）资金使用情况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highlight w:val="none"/>
        </w:rPr>
        <w:t>该项目年初预算数</w:t>
      </w:r>
      <w:r>
        <w:rPr>
          <w:rFonts w:hint="eastAsia"/>
          <w:highlight w:val="none"/>
          <w:lang w:eastAsia="zh-CN"/>
        </w:rPr>
        <w:t>1600.00</w:t>
      </w:r>
      <w:r>
        <w:rPr>
          <w:highlight w:val="none"/>
        </w:rPr>
        <w:t>万元，全年预算数</w:t>
      </w:r>
      <w:r>
        <w:rPr>
          <w:rFonts w:hint="eastAsia"/>
          <w:highlight w:val="none"/>
          <w:lang w:eastAsia="zh-CN"/>
        </w:rPr>
        <w:t>1600.00</w:t>
      </w:r>
      <w:r>
        <w:rPr>
          <w:highlight w:val="none"/>
        </w:rPr>
        <w:t>万元，全年执行数</w:t>
      </w:r>
      <w:r>
        <w:rPr>
          <w:rFonts w:hint="eastAsia"/>
          <w:highlight w:val="none"/>
          <w:lang w:eastAsia="zh-CN"/>
        </w:rPr>
        <w:t>1571.85</w:t>
      </w:r>
      <w:r>
        <w:rPr>
          <w:highlight w:val="none"/>
        </w:rPr>
        <w:t>万元，预算执行率为</w:t>
      </w:r>
      <w:r>
        <w:rPr>
          <w:rFonts w:hint="eastAsia"/>
          <w:highlight w:val="none"/>
          <w:lang w:eastAsia="zh-CN"/>
        </w:rPr>
        <w:t>98.24%</w:t>
      </w:r>
      <w:r>
        <w:rPr>
          <w:highlight w:val="none"/>
        </w:rPr>
        <w:t>，</w:t>
      </w:r>
      <w:r>
        <w:rPr>
          <w:rFonts w:hint="eastAsia"/>
          <w:highlight w:val="none"/>
        </w:rPr>
        <w:t>支付2024年自治区“两品一械”监督检验和中药材检验过程中产生的专用材料费、设备维修维护费、委托业务费等各项支出。</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highlight w:val="none"/>
        </w:rPr>
      </w:pPr>
      <w:r>
        <w:rPr>
          <w:rFonts w:ascii="Times New Roman" w:hAnsi="Times New Roman" w:eastAsia="楷体_GB2312" w:cs="Times New Roman"/>
          <w:highlight w:val="none"/>
        </w:rPr>
        <w:t>（二）项目绩效目标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highlight w:val="none"/>
        </w:rPr>
        <w:t>1.总体目标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highlight w:val="none"/>
        </w:rPr>
      </w:pPr>
      <w:r>
        <w:rPr>
          <w:rFonts w:hint="eastAsia"/>
          <w:highlight w:val="none"/>
        </w:rPr>
        <w:t>通过对药品、医疗器械以及化妆品监督抽验安排，以提高药品、医疗器械、化妆品安全水平为核心，坚持问题导向、重点突出、监检结合和三级联动原则，进一步做好药品、医疗器械和化妆品抽检工作，统一调度抽验任务，统一规范程序标准，统一数据分析利用，有效发挥抽验工作的风险防控和技术支撑作用，努力提高监管能力和监管水平，以“四个最严”的要求保障药品安全，坚决守住全区不发生重大药品安全事故底线，解决筑牢药品安全底线，保障人民群众用药安全。</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highlight w:val="none"/>
        </w:rPr>
        <w:t>2.阶段性目标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highlight w:val="none"/>
        </w:rPr>
      </w:pPr>
      <w:r>
        <w:rPr>
          <w:rFonts w:hint="eastAsia"/>
          <w:highlight w:val="none"/>
        </w:rPr>
        <w:t>经费下达后，我</w:t>
      </w:r>
      <w:r>
        <w:rPr>
          <w:rFonts w:hint="eastAsia"/>
          <w:highlight w:val="none"/>
          <w:lang w:eastAsia="zh-CN"/>
        </w:rPr>
        <w:t>局</w:t>
      </w:r>
      <w:r>
        <w:rPr>
          <w:rFonts w:hint="eastAsia"/>
          <w:highlight w:val="none"/>
        </w:rPr>
        <w:t>领导高度重视，立即组织相关</w:t>
      </w:r>
      <w:r>
        <w:rPr>
          <w:rFonts w:hint="eastAsia"/>
          <w:highlight w:val="none"/>
          <w:lang w:eastAsia="zh-CN"/>
        </w:rPr>
        <w:t>处室</w:t>
      </w:r>
      <w:r>
        <w:rPr>
          <w:rFonts w:hint="eastAsia"/>
          <w:highlight w:val="none"/>
        </w:rPr>
        <w:t>明确工作需求，细化资金用途，开展采购工作，充分保障“两品一械”检验任务顺利完成。项目执行过程中，严格按照项目预算执行，独立核算，专人专管，确保专项资金专款专用。全年召开多次预算执行进度会，通报预算执行情况及绩效目标完成情况，项目负责人按照项目实施计划和执行进度申请使用资金，严格按照我</w:t>
      </w:r>
      <w:r>
        <w:rPr>
          <w:rFonts w:hint="eastAsia"/>
          <w:highlight w:val="none"/>
          <w:lang w:eastAsia="zh-CN"/>
        </w:rPr>
        <w:t>局</w:t>
      </w:r>
      <w:r>
        <w:rPr>
          <w:rFonts w:hint="eastAsia"/>
          <w:highlight w:val="none"/>
        </w:rPr>
        <w:t>财务内控管理手册履行审批及报销程序。</w:t>
      </w:r>
    </w:p>
    <w:bookmarkEnd w:id="0"/>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黑体" w:cs="Times New Roman"/>
        </w:rPr>
      </w:pPr>
      <w:r>
        <w:rPr>
          <w:rFonts w:ascii="Times New Roman" w:hAnsi="Times New Roman" w:eastAsia="黑体" w:cs="Times New Roman"/>
        </w:rPr>
        <w:t>二、绩效评价工作开展情况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（一）绩效评价目的、对象和范围</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1.绩效评价完整性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本项目预算绩效评价报告在编制过程中，严格遵循相关法规与标准，确保评价内容的全面性与准确性。报告涵盖了项目从预算编制、执行到完成的全过程，对项目的各项绩效指标进行了细致的梳理与评估。</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2.绩效评价的目的</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（1）评估项目实施效果</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通过对项目预算执行情况及各项绩效目标达成程度的系统性分析，全面、客观地评估项目在预定周期内的实施效果，包括经济效益、社会效益等多维度指标，为项目后续的改进与优化提供科学依据。</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（2）提升资源利用效率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（3）强化项目管理责任</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（4）为决策提供支持</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（5）促进项目持续改进</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highlight w:val="none"/>
        </w:rPr>
        <w:t>3.绩效评价的对象</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highlight w:val="none"/>
        </w:rPr>
      </w:pPr>
      <w:r>
        <w:rPr>
          <w:highlight w:val="none"/>
        </w:rPr>
        <w:t>本项目预算绩效评价报告的评价对象是</w:t>
      </w:r>
      <w:r>
        <w:rPr>
          <w:rFonts w:hint="eastAsia"/>
          <w:highlight w:val="none"/>
          <w:lang w:eastAsia="zh-CN"/>
        </w:rPr>
        <w:t>2025年自治区药品监管补助</w:t>
      </w:r>
      <w:r>
        <w:rPr>
          <w:highlight w:val="none"/>
        </w:rPr>
        <w:t>及其预算执行情况。该项目由</w:t>
      </w:r>
      <w:r>
        <w:rPr>
          <w:rFonts w:hint="eastAsia"/>
          <w:highlight w:val="none"/>
          <w:lang w:eastAsia="zh-CN"/>
        </w:rPr>
        <w:t>新疆维吾尔自治区药品监督管理局</w:t>
      </w:r>
      <w:r>
        <w:rPr>
          <w:highlight w:val="none"/>
        </w:rPr>
        <w:t>负责实施，旨在根据主要职能，</w:t>
      </w:r>
      <w:r>
        <w:rPr>
          <w:rFonts w:hint="eastAsia"/>
          <w:highlight w:val="none"/>
        </w:rPr>
        <w:t>通过对药品、医疗器械以及化妆品监督抽验安排，以提高药品、医疗器械、化妆品安全水平为核心，坚持问题导向、重点突出、监检结合和三级联动原则，进一步做好药品、医疗器械和化妆品抽检工作，统一调度抽验任务，统一规范程序标准，统一数据分析利用，有效发挥抽验工作的风险防控和技术支撑作用，努力提高监管能力和监管水平，以“四个最严”的要求保障药品安全，坚决守住全区不发生重大药品安全事故底线，解决筑牢药品安全底线，保障人民群众用药安全。</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highlight w:val="none"/>
        </w:rPr>
        <w:t>4.绩效评价的范围</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highlight w:val="none"/>
        </w:rPr>
        <w:t>本项目预算绩效评价报告的评价范围广泛而全面，涵盖了从项目立项至评价时点期间的所有关键预算活动和财务流程。具体而言，评价范围包括但不限于以下几个方面：</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highlight w:val="none"/>
        </w:rPr>
        <w:t>（1）项目预算编制与执行：全面审视项目预算的编制依据、合理性、科学性以及实际执行情况，包括预算调整的原因和效果。</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highlight w:val="none"/>
        </w:rPr>
        <w:t>（2）资金管理：深入分析项目资金的分配、使用和监管情况，确保资金使用的合规性、高效性和透明度。</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highlight w:val="none"/>
        </w:rPr>
        <w:t>（3）项目实施进度与产出：评估项目是否按照既定计划顺利推进，各项任务是否按时完成，以及项目产出的数量、质量和时效性是否符合预期。</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highlight w:val="none"/>
        </w:rPr>
        <w:t>（4）社会影响：考察项目对社会、经济等方面的综合影响。</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（二）绩效评价原则、评价指标体系（详情见表1）、评价方法、评价标准。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1.绩效评价原则</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本次项目绩效评价遵循以下基本原则：</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2.评价指标体系</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绩效评价框架是开展绩效评价的核心。绩效评价框架包括评价准则、关键评价问题、评价指标、数据来源、数据收集方法等。指标体系建立过程如下：</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（1）确定评价指标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（2）确定权重</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确定各个指标相对于项目总体绩效的权重分值。在绩效评价指标体系中，项目决策权重为20分，项目过程权重为20分，项目产出权重为40分，项目效益权重为20分。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（3）确定指标标准值</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绩效评价总分值100分，根据综合评分结果，90（含）</w:t>
      </w:r>
      <w:r>
        <w:rPr>
          <w:rFonts w:hint="eastAsia"/>
          <w:lang w:eastAsia="zh-CN"/>
        </w:rPr>
        <w:t>—</w:t>
      </w:r>
      <w:r>
        <w:t>100分为优、80（含）</w:t>
      </w:r>
      <w:r>
        <w:rPr>
          <w:rFonts w:hint="eastAsia"/>
          <w:lang w:eastAsia="zh-CN"/>
        </w:rPr>
        <w:t>—</w:t>
      </w:r>
      <w:r>
        <w:t>90分为良、60（含）</w:t>
      </w:r>
      <w:r>
        <w:rPr>
          <w:rFonts w:hint="eastAsia"/>
          <w:lang w:eastAsia="zh-CN"/>
        </w:rPr>
        <w:t>—</w:t>
      </w:r>
      <w:r>
        <w:t>80分为中、60分以下为差。</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具体评价指标体系详情见附件1</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w:t>
      </w:r>
      <w:r>
        <w:rPr>
          <w:rFonts w:hint="eastAsia"/>
          <w:lang w:eastAsia="zh-CN"/>
        </w:rPr>
        <w:t>．</w:t>
      </w:r>
      <w:r>
        <w:t>绩效评价方法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绩效评价从项目决策、项目过程、项目产出、项目效益四个维度进行评价。评价对象为项目目标实施情况，评价核心为资金的支出完成情况和项目的产出效益。</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（一）成本效益分析法。是指将投入与产出、效益进行关联性分析的方法。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（二）比较法。是指将实施情况与绩效目标、历史情况、不同部门和地区同类支出情况进行比较的方法。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（三）因素分析法。是指综合分析影响绩效目标实现、实施效果的内外部因素的方法。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（四）最低成本法。是指在绩效目标确定的前提下，成本最小者为优的方法。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（五）公众评判法。是指通过专家评估、公众问卷及抽样调查等方式进行评判的方法。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（六）标杆管理法。是指以国内外同行业中较高的绩效水平为标杆进行评判的方法。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（七）其他评价方法。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4</w:t>
      </w:r>
      <w:r>
        <w:rPr>
          <w:rFonts w:hint="eastAsia"/>
          <w:lang w:eastAsia="zh-CN"/>
        </w:rPr>
        <w:t>．</w:t>
      </w:r>
      <w:r>
        <w:t>评价标准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绩效评价标准通常包括计划标准、行业标准、历史标准等，用于对绩效指标完成情况进行比较、分析、评价。本次评价主要采用了计划标准、历史标准。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（3）历史标准。指参照历史数据制定的评价标准，为体现绩效改进的原则，在可实现的条件下应当确定相对较高的评价标准。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（4）财政部门和预算部门确认或认可的其他标准。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eastAsia="楷体_GB2312"/>
        </w:rPr>
      </w:pPr>
      <w:r>
        <w:rPr>
          <w:rFonts w:eastAsia="楷体_GB2312"/>
        </w:rPr>
        <w:t>（三）绩效评价工作过程</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w:t>
      </w:r>
      <w:r>
        <w:rPr>
          <w:rFonts w:hint="eastAsia"/>
          <w:lang w:eastAsia="zh-CN"/>
        </w:rPr>
        <w:t>．</w:t>
      </w:r>
      <w:r>
        <w:t>前期准备与规划</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w:t>
      </w:r>
      <w:r>
        <w:rPr>
          <w:rFonts w:hint="eastAsia"/>
          <w:lang w:eastAsia="zh-CN"/>
        </w:rPr>
        <w:t>．</w:t>
      </w:r>
      <w:r>
        <w:t>指标体系构建</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w:t>
      </w:r>
      <w:r>
        <w:rPr>
          <w:rFonts w:hint="eastAsia"/>
          <w:lang w:eastAsia="zh-CN"/>
        </w:rPr>
        <w:t>．</w:t>
      </w:r>
      <w:r>
        <w:t>数据收集与整理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4</w:t>
      </w:r>
      <w:r>
        <w:rPr>
          <w:rFonts w:hint="eastAsia"/>
          <w:lang w:eastAsia="zh-CN"/>
        </w:rPr>
        <w:t>．</w:t>
      </w:r>
      <w:r>
        <w:t>数据分析与评估</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5</w:t>
      </w:r>
      <w:r>
        <w:rPr>
          <w:rFonts w:hint="eastAsia"/>
          <w:lang w:eastAsia="zh-CN"/>
        </w:rPr>
        <w:t>．</w:t>
      </w:r>
      <w:r>
        <w:t>报告撰写与反馈</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6</w:t>
      </w:r>
      <w:r>
        <w:rPr>
          <w:rFonts w:hint="eastAsia"/>
          <w:lang w:eastAsia="zh-CN"/>
        </w:rPr>
        <w:t>．</w:t>
      </w:r>
      <w:r>
        <w:t>后续跟踪与改进</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w:t>
      </w:r>
      <w:r>
        <w:rPr>
          <w:highlight w:val="none"/>
        </w:rPr>
        <w:t>方法，保持评价工作的适应性与前瞻性，为项目的长期稳定发展提供有力保障。</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黑体" w:cs="Times New Roman"/>
          <w:highlight w:val="none"/>
        </w:rPr>
      </w:pPr>
      <w:r>
        <w:rPr>
          <w:rFonts w:ascii="Times New Roman" w:hAnsi="Times New Roman" w:eastAsia="黑体" w:cs="Times New Roman"/>
          <w:highlight w:val="none"/>
        </w:rPr>
        <w:t>三、综合评价情况及评价结论（附相关评分表）</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eastAsia="楷体_GB2312"/>
          <w:highlight w:val="none"/>
        </w:rPr>
      </w:pPr>
      <w:r>
        <w:rPr>
          <w:rFonts w:eastAsia="楷体_GB2312"/>
          <w:highlight w:val="none"/>
        </w:rPr>
        <w:t>（一）评价情况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highlight w:val="none"/>
        </w:rPr>
      </w:pPr>
      <w:r>
        <w:rPr>
          <w:rFonts w:hint="eastAsia"/>
          <w:highlight w:val="none"/>
        </w:rPr>
        <w:t>本项目的综合评价基于对项目各方面绩效的深入分析与评估。从项目目标的达成情况来看，</w:t>
      </w:r>
      <w:r>
        <w:rPr>
          <w:rFonts w:hint="eastAsia"/>
          <w:highlight w:val="none"/>
          <w:lang w:eastAsia="zh-CN"/>
        </w:rPr>
        <w:t>2025年自治区药品监管补助项目</w:t>
      </w:r>
      <w:r>
        <w:rPr>
          <w:rFonts w:hint="eastAsia"/>
          <w:highlight w:val="none"/>
        </w:rPr>
        <w:t>在药品、医疗器械收、化妆品省抽检验等方面表现出色，达到了预期的标准与要求。同时，项目也在检验检测准确率取得了显著的成效，如药品、医疗器械收、化妆品省抽检验成本均在设定成本指标之内。</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highlight w:val="none"/>
        </w:rPr>
      </w:pPr>
      <w:r>
        <w:rPr>
          <w:rFonts w:hint="eastAsia"/>
          <w:highlight w:val="none"/>
        </w:rPr>
        <w:t>在项目管理方面，我</w:t>
      </w:r>
      <w:r>
        <w:rPr>
          <w:rFonts w:hint="eastAsia"/>
          <w:highlight w:val="none"/>
          <w:lang w:eastAsia="zh-CN"/>
        </w:rPr>
        <w:t>局</w:t>
      </w:r>
      <w:r>
        <w:rPr>
          <w:rFonts w:hint="eastAsia"/>
          <w:highlight w:val="none"/>
        </w:rPr>
        <w:t>通过有效的规划、组织与协调，项目得以顺利实施，并在预算与时间上保持了良好的控制。</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highlight w:val="none"/>
        </w:rPr>
      </w:pPr>
      <w:r>
        <w:rPr>
          <w:rFonts w:hint="eastAsia"/>
          <w:highlight w:val="none"/>
        </w:rPr>
        <w:t>从项目效益的角度来看，本项目不仅实现了预期的社会效益等方面产生了积极的影响。具体而言，检验结果公开率等方面的提升，为项目的利益相关者带来了实实在在的利益。</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highlight w:val="none"/>
        </w:rPr>
      </w:pPr>
      <w:r>
        <w:rPr>
          <w:rFonts w:hint="eastAsia"/>
          <w:highlight w:val="none"/>
        </w:rPr>
        <w:t>综上所述，</w:t>
      </w:r>
      <w:r>
        <w:rPr>
          <w:rFonts w:hint="eastAsia"/>
          <w:highlight w:val="none"/>
          <w:lang w:eastAsia="zh-CN"/>
        </w:rPr>
        <w:t>2025年自治区药品监管补助项目</w:t>
      </w:r>
      <w:r>
        <w:rPr>
          <w:rFonts w:hint="eastAsia"/>
          <w:highlight w:val="none"/>
        </w:rPr>
        <w:t>在绩效评价中表现出色，达到了项目的预期目标，并在多个方面取得了显著的成效。</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（二）评价结论</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lang w:eastAsia="zh-CN"/>
        </w:rPr>
        <w:t xml:space="preserve"> 99.93 </w:t>
      </w:r>
      <w:r>
        <w:t>分，属于“优”。其中，项目决策类指标权重为20分，得分为20分，得分率为100%。项目过程类指标权重为20分，得分为</w:t>
      </w:r>
      <w:r>
        <w:rPr>
          <w:rFonts w:hint="eastAsia"/>
          <w:lang w:val="en-US" w:eastAsia="zh-CN"/>
        </w:rPr>
        <w:t xml:space="preserve"> 19.93 </w:t>
      </w:r>
      <w:r>
        <w:t>分，得分率为</w:t>
      </w:r>
      <w:r>
        <w:rPr>
          <w:rFonts w:hint="eastAsia"/>
        </w:rPr>
        <w:t>99.65%</w:t>
      </w:r>
      <w:r>
        <w:t>。项目产出类指标权重为40分，得分为40分，得分率为100%。项目效益类指标权重为20分，得分为20分，得分率为100%。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具体打分情况详见：附件1综合评分表。</w:t>
      </w:r>
    </w:p>
    <w:p>
      <w:pPr>
        <w:keepNext w:val="0"/>
        <w:keepLines w:val="0"/>
        <w:pageBreakBefore w:val="0"/>
        <w:widowControl w:val="0"/>
        <w:kinsoku/>
        <w:wordWrap/>
        <w:overflowPunct/>
        <w:topLinePunct w:val="0"/>
        <w:autoSpaceDE/>
        <w:autoSpaceDN/>
        <w:bidi w:val="0"/>
        <w:adjustRightInd w:val="0"/>
        <w:snapToGrid/>
        <w:jc w:val="center"/>
        <w:textAlignment w:val="baseline"/>
      </w:pPr>
      <w:r>
        <w:t>表1综合评分表</w:t>
      </w:r>
    </w:p>
    <w:tbl>
      <w:tblPr>
        <w:tblStyle w:val="7"/>
        <w:tblW w:w="7587" w:type="dxa"/>
        <w:tblInd w:w="49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Layout w:type="fixed"/>
        <w:tblCellMar>
          <w:top w:w="0" w:type="dxa"/>
          <w:left w:w="0" w:type="dxa"/>
          <w:bottom w:w="0" w:type="dxa"/>
          <w:right w:w="0" w:type="dxa"/>
        </w:tblCellMar>
      </w:tblPr>
      <w:tblGrid>
        <w:gridCol w:w="3140"/>
        <w:gridCol w:w="2166"/>
        <w:gridCol w:w="228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3140" w:type="dxa"/>
            <w:shd w:val="clear" w:color="auto" w:fill="auto"/>
            <w:vAlign w:val="center"/>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一级指标</w:t>
            </w:r>
          </w:p>
        </w:tc>
        <w:tc>
          <w:tcPr>
            <w:tcW w:w="2166" w:type="dxa"/>
            <w:shd w:val="clear" w:color="auto" w:fill="auto"/>
            <w:vAlign w:val="center"/>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权重分</w:t>
            </w:r>
          </w:p>
        </w:tc>
        <w:tc>
          <w:tcPr>
            <w:tcW w:w="2281" w:type="dxa"/>
            <w:shd w:val="clear" w:color="auto" w:fill="auto"/>
            <w:vAlign w:val="center"/>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3140" w:type="dxa"/>
            <w:shd w:val="clear" w:color="auto" w:fill="auto"/>
            <w:vAlign w:val="center"/>
          </w:tcPr>
          <w:p>
            <w:pPr>
              <w:jc w:val="center"/>
              <w:rPr>
                <w:sz w:val="24"/>
                <w:szCs w:val="24"/>
              </w:rPr>
            </w:pPr>
            <w:r>
              <w:rPr>
                <w:sz w:val="24"/>
                <w:szCs w:val="24"/>
              </w:rPr>
              <w:t>项目决策</w:t>
            </w:r>
          </w:p>
        </w:tc>
        <w:tc>
          <w:tcPr>
            <w:tcW w:w="2166" w:type="dxa"/>
            <w:shd w:val="clear" w:color="auto" w:fill="auto"/>
            <w:vAlign w:val="center"/>
          </w:tcPr>
          <w:p>
            <w:pPr>
              <w:jc w:val="center"/>
              <w:rPr>
                <w:sz w:val="24"/>
                <w:szCs w:val="24"/>
              </w:rPr>
            </w:pPr>
            <w:r>
              <w:rPr>
                <w:sz w:val="24"/>
                <w:szCs w:val="24"/>
              </w:rPr>
              <w:t>20</w:t>
            </w:r>
          </w:p>
        </w:tc>
        <w:tc>
          <w:tcPr>
            <w:tcW w:w="2281" w:type="dxa"/>
            <w:shd w:val="clear" w:color="auto" w:fill="auto"/>
            <w:vAlign w:val="center"/>
          </w:tcPr>
          <w:p>
            <w:pPr>
              <w:jc w:val="center"/>
              <w:rPr>
                <w:sz w:val="24"/>
                <w:szCs w:val="24"/>
              </w:rPr>
            </w:pPr>
            <w:r>
              <w:rPr>
                <w:sz w:val="24"/>
                <w:szCs w:val="24"/>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3140" w:type="dxa"/>
            <w:shd w:val="clear" w:color="auto" w:fill="auto"/>
            <w:vAlign w:val="center"/>
          </w:tcPr>
          <w:p>
            <w:pPr>
              <w:jc w:val="center"/>
              <w:rPr>
                <w:sz w:val="24"/>
                <w:szCs w:val="24"/>
              </w:rPr>
            </w:pPr>
            <w:r>
              <w:rPr>
                <w:sz w:val="24"/>
                <w:szCs w:val="24"/>
              </w:rPr>
              <w:t>项目过程</w:t>
            </w:r>
          </w:p>
        </w:tc>
        <w:tc>
          <w:tcPr>
            <w:tcW w:w="2166" w:type="dxa"/>
            <w:shd w:val="clear" w:color="auto" w:fill="auto"/>
            <w:vAlign w:val="center"/>
          </w:tcPr>
          <w:p>
            <w:pPr>
              <w:jc w:val="center"/>
              <w:rPr>
                <w:sz w:val="24"/>
                <w:szCs w:val="24"/>
              </w:rPr>
            </w:pPr>
            <w:r>
              <w:rPr>
                <w:sz w:val="24"/>
                <w:szCs w:val="24"/>
              </w:rPr>
              <w:t>20</w:t>
            </w:r>
          </w:p>
        </w:tc>
        <w:tc>
          <w:tcPr>
            <w:tcW w:w="2281" w:type="dxa"/>
            <w:shd w:val="clear" w:color="auto" w:fill="auto"/>
            <w:vAlign w:val="center"/>
          </w:tcPr>
          <w:p>
            <w:pPr>
              <w:jc w:val="center"/>
              <w:rPr>
                <w:rFonts w:hint="eastAsia"/>
                <w:sz w:val="24"/>
                <w:szCs w:val="24"/>
                <w:lang w:eastAsia="zh-CN"/>
              </w:rPr>
            </w:pPr>
            <w:r>
              <w:rPr>
                <w:rFonts w:hint="eastAsia"/>
                <w:sz w:val="24"/>
                <w:szCs w:val="24"/>
                <w:lang w:val="en-US" w:eastAsia="zh-CN"/>
              </w:rPr>
              <w:t>19.93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3140" w:type="dxa"/>
            <w:shd w:val="clear" w:color="auto" w:fill="auto"/>
            <w:vAlign w:val="center"/>
          </w:tcPr>
          <w:p>
            <w:pPr>
              <w:jc w:val="center"/>
              <w:rPr>
                <w:sz w:val="24"/>
                <w:szCs w:val="24"/>
              </w:rPr>
            </w:pPr>
            <w:r>
              <w:rPr>
                <w:sz w:val="24"/>
                <w:szCs w:val="24"/>
              </w:rPr>
              <w:t>项目产出</w:t>
            </w:r>
          </w:p>
        </w:tc>
        <w:tc>
          <w:tcPr>
            <w:tcW w:w="2166" w:type="dxa"/>
            <w:shd w:val="clear" w:color="auto" w:fill="auto"/>
            <w:vAlign w:val="center"/>
          </w:tcPr>
          <w:p>
            <w:pPr>
              <w:jc w:val="center"/>
              <w:rPr>
                <w:sz w:val="24"/>
                <w:szCs w:val="24"/>
              </w:rPr>
            </w:pPr>
            <w:r>
              <w:rPr>
                <w:sz w:val="24"/>
                <w:szCs w:val="24"/>
              </w:rPr>
              <w:t>40</w:t>
            </w:r>
          </w:p>
        </w:tc>
        <w:tc>
          <w:tcPr>
            <w:tcW w:w="2281" w:type="dxa"/>
            <w:shd w:val="clear" w:color="auto" w:fill="auto"/>
            <w:vAlign w:val="center"/>
          </w:tcPr>
          <w:p>
            <w:pPr>
              <w:jc w:val="center"/>
              <w:rPr>
                <w:sz w:val="24"/>
                <w:szCs w:val="24"/>
              </w:rPr>
            </w:pPr>
            <w:r>
              <w:rPr>
                <w:sz w:val="24"/>
                <w:szCs w:val="24"/>
              </w:rPr>
              <w:t>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3140" w:type="dxa"/>
            <w:shd w:val="clear" w:color="auto" w:fill="auto"/>
            <w:vAlign w:val="center"/>
          </w:tcPr>
          <w:p>
            <w:pPr>
              <w:jc w:val="center"/>
              <w:rPr>
                <w:sz w:val="24"/>
                <w:szCs w:val="24"/>
              </w:rPr>
            </w:pPr>
            <w:r>
              <w:rPr>
                <w:sz w:val="24"/>
                <w:szCs w:val="24"/>
              </w:rPr>
              <w:t>项目效益</w:t>
            </w:r>
          </w:p>
        </w:tc>
        <w:tc>
          <w:tcPr>
            <w:tcW w:w="2166" w:type="dxa"/>
            <w:shd w:val="clear" w:color="auto" w:fill="auto"/>
            <w:vAlign w:val="center"/>
          </w:tcPr>
          <w:p>
            <w:pPr>
              <w:jc w:val="center"/>
              <w:rPr>
                <w:sz w:val="24"/>
                <w:szCs w:val="24"/>
              </w:rPr>
            </w:pPr>
            <w:r>
              <w:rPr>
                <w:sz w:val="24"/>
                <w:szCs w:val="24"/>
              </w:rPr>
              <w:t>20</w:t>
            </w:r>
          </w:p>
        </w:tc>
        <w:tc>
          <w:tcPr>
            <w:tcW w:w="2281" w:type="dxa"/>
            <w:shd w:val="clear" w:color="auto" w:fill="auto"/>
            <w:vAlign w:val="center"/>
          </w:tcPr>
          <w:p>
            <w:pPr>
              <w:jc w:val="center"/>
              <w:rPr>
                <w:sz w:val="24"/>
                <w:szCs w:val="24"/>
              </w:rPr>
            </w:pPr>
            <w:r>
              <w:rPr>
                <w:sz w:val="24"/>
                <w:szCs w:val="24"/>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3140" w:type="dxa"/>
            <w:shd w:val="clear" w:color="auto" w:fill="auto"/>
            <w:vAlign w:val="center"/>
          </w:tcPr>
          <w:p>
            <w:pPr>
              <w:jc w:val="center"/>
              <w:rPr>
                <w:sz w:val="24"/>
                <w:szCs w:val="24"/>
              </w:rPr>
            </w:pPr>
            <w:r>
              <w:rPr>
                <w:sz w:val="24"/>
                <w:szCs w:val="24"/>
              </w:rPr>
              <w:t>合计</w:t>
            </w:r>
          </w:p>
        </w:tc>
        <w:tc>
          <w:tcPr>
            <w:tcW w:w="2166" w:type="dxa"/>
            <w:shd w:val="clear" w:color="auto" w:fill="auto"/>
            <w:vAlign w:val="center"/>
          </w:tcPr>
          <w:p>
            <w:pPr>
              <w:jc w:val="center"/>
              <w:rPr>
                <w:sz w:val="24"/>
                <w:szCs w:val="24"/>
              </w:rPr>
            </w:pPr>
            <w:r>
              <w:rPr>
                <w:sz w:val="24"/>
                <w:szCs w:val="24"/>
              </w:rPr>
              <w:t>100</w:t>
            </w:r>
          </w:p>
        </w:tc>
        <w:tc>
          <w:tcPr>
            <w:tcW w:w="2281" w:type="dxa"/>
            <w:shd w:val="clear" w:color="auto" w:fill="auto"/>
            <w:vAlign w:val="center"/>
          </w:tcPr>
          <w:p>
            <w:pPr>
              <w:jc w:val="center"/>
              <w:rPr>
                <w:rFonts w:hint="eastAsia"/>
                <w:sz w:val="24"/>
                <w:szCs w:val="24"/>
                <w:lang w:eastAsia="zh-CN"/>
              </w:rPr>
            </w:pPr>
            <w:r>
              <w:rPr>
                <w:rFonts w:hint="eastAsia"/>
                <w:sz w:val="24"/>
                <w:szCs w:val="24"/>
                <w:lang w:val="en-US" w:eastAsia="zh-CN"/>
              </w:rPr>
              <w:t>99.93</w:t>
            </w:r>
          </w:p>
        </w:tc>
      </w:tr>
    </w:tbl>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黑体" w:cs="Times New Roman"/>
        </w:rPr>
      </w:pPr>
      <w:r>
        <w:rPr>
          <w:rFonts w:ascii="Times New Roman" w:hAnsi="Times New Roman" w:eastAsia="黑体" w:cs="Times New Roman"/>
        </w:rPr>
        <w:t>四、绩效评价指标分析</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（一）项目决策情况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项目决策类指标包括项目立项、绩效目标和资金投入三方</w:t>
      </w:r>
      <w:r>
        <w:rPr>
          <w:rFonts w:ascii="Times New Roman" w:hAnsi="Times New Roman" w:cs="Times New Roman"/>
        </w:rPr>
        <w:t>面的内容，由6个三级指标构成，权重分值为20分，实际得分</w:t>
      </w:r>
      <w:r>
        <w:t>20分，得分率为100%。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w:t>
      </w:r>
      <w:r>
        <w:rPr>
          <w:rFonts w:hint="eastAsia"/>
          <w:lang w:eastAsia="zh-CN"/>
        </w:rPr>
        <w:t>．</w:t>
      </w:r>
      <w:r>
        <w:t>项目立项</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立项依据充分性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（2）立项程序规范性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项目申请、设立过程符合相关要求，严格按照审批流程准备符合要求的文件、材料；根据决算依据编制工作计划和经费</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预算，经过与部门项目分管领导沟通、筛选确定经费预算计划，确定最终预算方案。项目的审批文件、材料符合相关要求，项目事前经过必要的可行性研究、专家论证、风险评估、绩效评估、集体决策，保障了程序的规范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w:t>
      </w:r>
      <w:r>
        <w:rPr>
          <w:rFonts w:hint="eastAsia"/>
          <w:lang w:eastAsia="zh-CN"/>
        </w:rPr>
        <w:t>．</w:t>
      </w:r>
      <w:r>
        <w:t>绩效目标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（1）绩效目标合理性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（2）绩效指标明确性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项目设置了明确的预期产出效益和效果，将绩效目标细化分解为具体的绩效指标，绩效目标与项目目标任务数相对应，绩效目标设定的绩效指标清晰、细化、可衡量。</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w:t>
      </w:r>
      <w:r>
        <w:rPr>
          <w:rFonts w:hint="eastAsia"/>
          <w:lang w:eastAsia="zh-CN"/>
        </w:rPr>
        <w:t>．</w:t>
      </w:r>
      <w:r>
        <w:t>资金投入</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（1）预算编制科学性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（2）资金分配合理性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的资金分配遵循了公平、公正、透明的原则，确保了项目资源的合理配置与高效利用。在资金分配过程中，我们充分考虑了项目的实际需求与目标，对不同阶段、不同任务的资金进行了科学的规划与安排。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（二）项目过程情况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项目过程类指标包括资金管理和组织实施两方面的内容，由5个三级指标构成，权重分值为20分，实际得分20分，得分率为20%。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w:t>
      </w:r>
      <w:r>
        <w:rPr>
          <w:rFonts w:hint="eastAsia"/>
          <w:lang w:eastAsia="zh-CN"/>
        </w:rPr>
        <w:t>．</w:t>
      </w:r>
      <w:r>
        <w:t>资金管理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（1）资金到位率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本项目总投资</w:t>
      </w:r>
      <w:r>
        <w:rPr>
          <w:rFonts w:hint="eastAsia"/>
          <w:lang w:eastAsia="zh-CN"/>
        </w:rPr>
        <w:t>1600.00</w:t>
      </w:r>
      <w:r>
        <w:t>万元，财政资金及时足额到位，到位率100%，预算资金按计划进度执行。</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（2）预算执行率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预算编制较为详细，项目资金支出总体能够按照预算执行，预算资金支出</w:t>
      </w:r>
      <w:r>
        <w:rPr>
          <w:rFonts w:hint="eastAsia"/>
          <w:lang w:eastAsia="zh-CN"/>
        </w:rPr>
        <w:t>1571.85</w:t>
      </w:r>
      <w:r>
        <w:t>万元，预算执行率为</w:t>
      </w:r>
      <w:r>
        <w:rPr>
          <w:rFonts w:hint="eastAsia"/>
          <w:lang w:eastAsia="zh-CN"/>
        </w:rPr>
        <w:t>98.24%</w:t>
      </w:r>
      <w:r>
        <w:t>。</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（3）资金使用合规性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w:t>
      </w:r>
      <w:r>
        <w:rPr>
          <w:rFonts w:hint="eastAsia"/>
          <w:lang w:eastAsia="zh-CN"/>
        </w:rPr>
        <w:t>．</w:t>
      </w:r>
      <w:r>
        <w:t>组织实施</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（1）管理制度健全性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综上所述，本项目的管理制度是健全的、有效的，既符合项目的实际情况，又满足了项目管理的需要。管理制度的健全性为项目的成功实施提供了有力的保障，也为项目的绩效评价奠定了坚实的基础。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rPr>
          <w:rFonts w:hint="eastAsia"/>
          <w:lang w:eastAsia="zh-CN"/>
        </w:rPr>
        <w:t>（</w:t>
      </w:r>
      <w:r>
        <w:rPr>
          <w:rFonts w:hint="eastAsia"/>
          <w:lang w:val="en-US" w:eastAsia="zh-CN"/>
        </w:rPr>
        <w:t>2</w:t>
      </w:r>
      <w:r>
        <w:rPr>
          <w:rFonts w:hint="eastAsia"/>
          <w:lang w:eastAsia="zh-CN"/>
        </w:rPr>
        <w:t>）</w:t>
      </w:r>
      <w:r>
        <w:t>制度执行有效性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（三）项目产出情况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项目产出类指标包括产出数量、产出质量、产出时效、产出成本四方面的内容，由4个三级指标构成，权重分为40分，实际得分40分，得分率为100%。具体产出指标完成情况如下：</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①数量指标：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指标1：</w:t>
      </w:r>
      <w:r>
        <w:rPr>
          <w:rFonts w:hint="eastAsia"/>
          <w:lang w:eastAsia="zh-CN"/>
        </w:rPr>
        <w:t>药品监督抽检安排批次</w:t>
      </w:r>
      <w:r>
        <w:t>，指标值：</w:t>
      </w:r>
      <w:r>
        <w:rPr>
          <w:rFonts w:hint="eastAsia"/>
        </w:rPr>
        <w:t>&gt;=2010批</w:t>
      </w:r>
      <w:r>
        <w:t>，实际完成值：</w:t>
      </w:r>
      <w:r>
        <w:rPr>
          <w:rFonts w:hint="eastAsia"/>
        </w:rPr>
        <w:t>2028批</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指标2：</w:t>
      </w:r>
      <w:r>
        <w:rPr>
          <w:rFonts w:hint="eastAsia"/>
          <w:lang w:eastAsia="zh-CN"/>
        </w:rPr>
        <w:t>医疗器械监督抽检安排批次</w:t>
      </w:r>
      <w:r>
        <w:t>，指标值：</w:t>
      </w:r>
      <w:r>
        <w:rPr>
          <w:rFonts w:hint="eastAsia"/>
        </w:rPr>
        <w:t>&gt;=200批</w:t>
      </w:r>
      <w:r>
        <w:t>，实际完成值：</w:t>
      </w:r>
      <w:r>
        <w:rPr>
          <w:rFonts w:hint="eastAsia"/>
        </w:rPr>
        <w:t>200批</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指标3：</w:t>
      </w:r>
      <w:r>
        <w:rPr>
          <w:rFonts w:hint="eastAsia"/>
        </w:rPr>
        <w:t>化妆品监督抽检安排批次</w:t>
      </w:r>
      <w:r>
        <w:t>，指标值：</w:t>
      </w:r>
      <w:r>
        <w:rPr>
          <w:rFonts w:hint="eastAsia"/>
        </w:rPr>
        <w:t>&gt;=165批</w:t>
      </w:r>
      <w:r>
        <w:t>，实际完成值：</w:t>
      </w:r>
      <w:r>
        <w:rPr>
          <w:rFonts w:hint="eastAsia"/>
        </w:rPr>
        <w:t>215批</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②质量指标：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指标1：</w:t>
      </w:r>
      <w:r>
        <w:rPr>
          <w:rFonts w:hint="eastAsia"/>
        </w:rPr>
        <w:t>监督检查完成率</w:t>
      </w:r>
      <w:r>
        <w:t>，指标值：≥9</w:t>
      </w:r>
      <w:r>
        <w:rPr>
          <w:rFonts w:hint="eastAsia"/>
          <w:lang w:val="en-US" w:eastAsia="zh-CN"/>
        </w:rPr>
        <w:t>0</w:t>
      </w:r>
      <w:r>
        <w:t>%，实际完成值：100%，指标完成率100%。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③时效指标：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指标1：</w:t>
      </w:r>
      <w:r>
        <w:rPr>
          <w:rFonts w:hint="eastAsia"/>
        </w:rPr>
        <w:t>监督抽检按期完成率</w:t>
      </w:r>
      <w:r>
        <w:t>，指标值：</w:t>
      </w:r>
      <w:r>
        <w:rPr>
          <w:rFonts w:hint="eastAsia"/>
          <w:lang w:val="en-US" w:eastAsia="zh-CN"/>
        </w:rPr>
        <w:t>=100</w:t>
      </w:r>
      <w:r>
        <w:t>%，实际完成值：</w:t>
      </w:r>
      <w:r>
        <w:rPr>
          <w:rFonts w:hint="eastAsia"/>
          <w:lang w:val="en-US" w:eastAsia="zh-CN"/>
        </w:rPr>
        <w:t>100</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④成本指标：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指标1：</w:t>
      </w:r>
      <w:r>
        <w:rPr>
          <w:rFonts w:hint="eastAsia"/>
        </w:rPr>
        <w:t>监督抽检按期完成率</w:t>
      </w:r>
      <w:r>
        <w:t>，指标值：</w:t>
      </w:r>
      <w:r>
        <w:rPr>
          <w:rFonts w:hint="eastAsia"/>
        </w:rPr>
        <w:t>&lt;=6199.5元/批</w:t>
      </w:r>
      <w:r>
        <w:t>，实际完成值：</w:t>
      </w:r>
      <w:r>
        <w:rPr>
          <w:rFonts w:hint="eastAsia"/>
        </w:rPr>
        <w:t>199.5元/批</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w:t>
      </w:r>
      <w:r>
        <w:rPr>
          <w:rFonts w:hint="eastAsia"/>
          <w:lang w:val="en-US" w:eastAsia="zh-CN"/>
        </w:rPr>
        <w:t>2</w:t>
      </w:r>
      <w:r>
        <w:t>：</w:t>
      </w:r>
      <w:r>
        <w:rPr>
          <w:rFonts w:hint="eastAsia"/>
        </w:rPr>
        <w:t>监督抽检按期完成率</w:t>
      </w:r>
      <w:r>
        <w:t>，指标值：</w:t>
      </w:r>
      <w:r>
        <w:rPr>
          <w:rFonts w:hint="eastAsia"/>
        </w:rPr>
        <w:t>&lt;=9369.09元/批</w:t>
      </w:r>
      <w:r>
        <w:t>，实际完成值：</w:t>
      </w:r>
      <w:r>
        <w:rPr>
          <w:rFonts w:hint="eastAsia"/>
        </w:rPr>
        <w:t>9369.09元/批</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w:t>
      </w:r>
      <w:r>
        <w:rPr>
          <w:rFonts w:hint="eastAsia"/>
          <w:lang w:val="en-US" w:eastAsia="zh-CN"/>
        </w:rPr>
        <w:t>3</w:t>
      </w:r>
      <w:r>
        <w:t>：</w:t>
      </w:r>
      <w:r>
        <w:rPr>
          <w:rFonts w:hint="eastAsia"/>
        </w:rPr>
        <w:t>监督抽检按期完成率</w:t>
      </w:r>
      <w:r>
        <w:t>，指标值：</w:t>
      </w:r>
      <w:r>
        <w:rPr>
          <w:rFonts w:hint="eastAsia"/>
        </w:rPr>
        <w:t>&lt;=10055.62元/批</w:t>
      </w:r>
      <w:r>
        <w:t>，实际完成值：</w:t>
      </w:r>
      <w:r>
        <w:rPr>
          <w:rFonts w:hint="eastAsia"/>
        </w:rPr>
        <w:t>10055.62元/批</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（四）项目效益情况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项目效益类指标包括项目实施效益和满意度两方面的内容，由</w:t>
      </w:r>
      <w:r>
        <w:rPr>
          <w:rFonts w:hint="eastAsia"/>
          <w:lang w:val="en-US" w:eastAsia="zh-CN"/>
        </w:rPr>
        <w:t>2</w:t>
      </w:r>
      <w:r>
        <w:t>个三级指标构成，权重分为20分，实际得分20分，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得分率为100%。具体效益指标及满意度指标完成情况如下：</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w:t>
      </w:r>
      <w:r>
        <w:rPr>
          <w:rFonts w:hint="eastAsia"/>
          <w:lang w:eastAsia="zh-CN"/>
        </w:rPr>
        <w:t>．</w:t>
      </w:r>
      <w:r>
        <w:t>实施效益</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①社会效益指标：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指标1：</w:t>
      </w:r>
      <w:r>
        <w:rPr>
          <w:rFonts w:hint="eastAsia"/>
        </w:rPr>
        <w:t>“两品一械”总体安全水平</w:t>
      </w:r>
      <w:r>
        <w:t>，指标值：</w:t>
      </w:r>
      <w:r>
        <w:rPr>
          <w:rFonts w:hint="eastAsia"/>
        </w:rPr>
        <w:t>不断提高</w:t>
      </w:r>
      <w:r>
        <w:t>，实际完成值：</w:t>
      </w:r>
      <w:r>
        <w:rPr>
          <w:rFonts w:hint="eastAsia"/>
        </w:rPr>
        <w:t>不断提高</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w:t>
      </w:r>
      <w:r>
        <w:rPr>
          <w:rFonts w:hint="eastAsia"/>
          <w:lang w:eastAsia="zh-CN"/>
        </w:rPr>
        <w:t>．</w:t>
      </w:r>
      <w:r>
        <w:t>满意度</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指标1：</w:t>
      </w:r>
      <w:r>
        <w:rPr>
          <w:rFonts w:hint="eastAsia"/>
        </w:rPr>
        <w:t>公众对药品监管满意度</w:t>
      </w:r>
      <w:r>
        <w:t>，指标值：</w:t>
      </w:r>
      <w:r>
        <w:rPr>
          <w:rFonts w:hint="eastAsia"/>
        </w:rPr>
        <w:t>&gt;=85%</w:t>
      </w:r>
      <w:r>
        <w:t>，实际完成值：</w:t>
      </w:r>
      <w:r>
        <w:rPr>
          <w:rFonts w:hint="eastAsia"/>
        </w:rPr>
        <w:t>95.18%</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黑体" w:cs="Times New Roman"/>
        </w:rPr>
      </w:pPr>
      <w:r>
        <w:rPr>
          <w:rFonts w:ascii="Times New Roman" w:hAnsi="Times New Roman" w:eastAsia="黑体" w:cs="Times New Roman"/>
        </w:rPr>
        <w:t>五、预算执行进度与绩效指标总体完成率偏差</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default"/>
          <w:lang w:val="en-US" w:eastAsia="zh-CN"/>
        </w:rPr>
      </w:pPr>
      <w:r>
        <w:rPr>
          <w:rFonts w:hint="eastAsia"/>
          <w:lang w:eastAsia="zh-CN"/>
        </w:rPr>
        <w:t>2025年自治区药品监管补助</w:t>
      </w:r>
      <w:r>
        <w:t>项目年初预算</w:t>
      </w:r>
      <w:r>
        <w:rPr>
          <w:rFonts w:hint="eastAsia"/>
          <w:lang w:eastAsia="zh-CN"/>
        </w:rPr>
        <w:t>1600.00</w:t>
      </w:r>
      <w:r>
        <w:t>万元，全年预算</w:t>
      </w:r>
      <w:r>
        <w:rPr>
          <w:rFonts w:hint="eastAsia"/>
          <w:lang w:eastAsia="zh-CN"/>
        </w:rPr>
        <w:t>1600.00</w:t>
      </w:r>
      <w:r>
        <w:t>万元，实际支出</w:t>
      </w:r>
      <w:r>
        <w:rPr>
          <w:rFonts w:hint="eastAsia"/>
          <w:lang w:eastAsia="zh-CN"/>
        </w:rPr>
        <w:t>1571.85</w:t>
      </w:r>
      <w:r>
        <w:t>万元，预算执行率为</w:t>
      </w:r>
      <w:r>
        <w:rPr>
          <w:rFonts w:hint="eastAsia"/>
          <w:lang w:eastAsia="zh-CN"/>
        </w:rPr>
        <w:t>98.24%</w:t>
      </w:r>
      <w:r>
        <w:t>，项目绩效指标总体完成率为100%，总体偏差率为</w:t>
      </w:r>
      <w:r>
        <w:rPr>
          <w:rFonts w:hint="eastAsia"/>
        </w:rPr>
        <w:t>1.</w:t>
      </w:r>
      <w:r>
        <w:rPr>
          <w:rFonts w:hint="eastAsia"/>
          <w:lang w:val="en-US" w:eastAsia="zh-CN"/>
        </w:rPr>
        <w:t>76</w:t>
      </w:r>
      <w:r>
        <w:rPr>
          <w:rFonts w:hint="eastAsia"/>
        </w:rPr>
        <w:t>%</w:t>
      </w:r>
      <w:r>
        <w:t>，偏差原因</w:t>
      </w:r>
      <w:r>
        <w:rPr>
          <w:rFonts w:hint="eastAsia"/>
          <w:lang w:eastAsia="zh-CN"/>
        </w:rPr>
        <w:t>：</w:t>
      </w:r>
      <w:r>
        <w:rPr>
          <w:rFonts w:hint="eastAsia"/>
          <w:lang w:val="en-US" w:eastAsia="zh-CN"/>
        </w:rPr>
        <w:t>存在</w:t>
      </w:r>
      <w:r>
        <w:rPr>
          <w:rFonts w:hint="eastAsia"/>
          <w:lang w:eastAsia="zh-CN"/>
        </w:rPr>
        <w:t>一场培训未完成</w:t>
      </w:r>
      <w:r>
        <w:rPr>
          <w:rFonts w:hint="eastAsia"/>
          <w:lang w:val="en-US" w:eastAsia="zh-CN"/>
        </w:rPr>
        <w:t>及招标部分项目存在资金结余</w:t>
      </w:r>
      <w:r>
        <w:t>。</w:t>
      </w:r>
      <w:r>
        <w:rPr>
          <w:rFonts w:hint="eastAsia"/>
          <w:lang w:val="en-US" w:eastAsia="zh-CN"/>
        </w:rPr>
        <w:t>改进措施：</w:t>
      </w:r>
      <w:r>
        <w:rPr>
          <w:rFonts w:hint="eastAsia"/>
          <w:lang w:eastAsia="zh-CN"/>
        </w:rPr>
        <w:t>组织部报批</w:t>
      </w:r>
      <w:r>
        <w:rPr>
          <w:rFonts w:hint="eastAsia"/>
          <w:lang w:val="en-US" w:eastAsia="zh-CN"/>
        </w:rPr>
        <w:t>完成后尽快实施，并支付资金。</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黑体" w:cs="Times New Roman"/>
        </w:rPr>
      </w:pPr>
      <w:r>
        <w:rPr>
          <w:rFonts w:ascii="Times New Roman" w:hAnsi="Times New Roman" w:eastAsia="黑体" w:cs="Times New Roman"/>
        </w:rPr>
        <w:t>六</w:t>
      </w:r>
      <w:r>
        <w:rPr>
          <w:rFonts w:hint="eastAsia" w:ascii="Times New Roman" w:hAnsi="Times New Roman" w:eastAsia="黑体" w:cs="Times New Roman"/>
          <w:lang w:eastAsia="zh-CN"/>
        </w:rPr>
        <w:t>、</w:t>
      </w:r>
      <w:r>
        <w:rPr>
          <w:rFonts w:ascii="Times New Roman" w:hAnsi="Times New Roman" w:eastAsia="黑体" w:cs="Times New Roman"/>
        </w:rPr>
        <w:t>主要经验及做法、存在的问题及原因分析</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（一）主要经验及做法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（二）存在的问题及原因分析</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w:t>
      </w:r>
      <w:r>
        <w:rPr>
          <w:rFonts w:hint="eastAsia"/>
          <w:lang w:eastAsia="zh-CN"/>
        </w:rPr>
        <w:t>．</w:t>
      </w:r>
      <w: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w:t>
      </w:r>
      <w:r>
        <w:rPr>
          <w:rFonts w:hint="eastAsia"/>
          <w:lang w:eastAsia="zh-CN"/>
        </w:rPr>
        <w:t>．</w:t>
      </w:r>
      <w:r>
        <w:t>因轮岗、调动等因素使我单位绩效工作人员流动频繁，造成工作衔接不到位的情况。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黑体" w:cs="Times New Roman"/>
        </w:rPr>
      </w:pPr>
      <w:r>
        <w:rPr>
          <w:rFonts w:ascii="Times New Roman" w:hAnsi="Times New Roman" w:eastAsia="黑体" w:cs="Times New Roman"/>
        </w:rPr>
        <w:t>七</w:t>
      </w:r>
      <w:r>
        <w:rPr>
          <w:rFonts w:hint="eastAsia" w:ascii="Times New Roman" w:hAnsi="Times New Roman" w:eastAsia="黑体" w:cs="Times New Roman"/>
          <w:lang w:eastAsia="zh-CN"/>
        </w:rPr>
        <w:t>、</w:t>
      </w:r>
      <w:r>
        <w:rPr>
          <w:rFonts w:ascii="Times New Roman" w:hAnsi="Times New Roman" w:eastAsia="黑体" w:cs="Times New Roman"/>
        </w:rPr>
        <w:t>有关建议</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w:t>
      </w:r>
      <w:r>
        <w:rPr>
          <w:rFonts w:hint="eastAsia"/>
          <w:lang w:eastAsia="zh-CN"/>
        </w:rPr>
        <w:t>．</w:t>
      </w:r>
      <w:r>
        <w:t>多进行有关绩效管理工作方面的培训。积极组织第三方开展绩效管理工作培训，进一步夯实业务基础，提高我单位绩效人员水平。</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w:t>
      </w:r>
      <w:r>
        <w:rPr>
          <w:rFonts w:hint="eastAsia"/>
          <w:lang w:eastAsia="zh-CN"/>
        </w:rPr>
        <w:t>．</w:t>
      </w:r>
      <w:r>
        <w:t>专门设定对绩效工作人员定职、定岗、定责等相关制度措施，进一步提升我单位绩效管理工作业务水平，扎实做好绩效管理工作。</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w:t>
      </w:r>
      <w:r>
        <w:rPr>
          <w:rFonts w:hint="eastAsia"/>
          <w:lang w:eastAsia="zh-CN"/>
        </w:rPr>
        <w:t>．</w:t>
      </w:r>
      <w: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4</w:t>
      </w:r>
      <w:r>
        <w:rPr>
          <w:rFonts w:hint="eastAsia"/>
          <w:lang w:eastAsia="zh-CN"/>
        </w:rPr>
        <w:t>．</w:t>
      </w:r>
      <w:r>
        <w:t>进一步完善项目评价过程中有关数据和资料的收集、整理、审核及分析。项目启动时同步做好档案的归纳与整理，及时整理、收集、汇总，健全档案资料。项目后续管理有待进一步加强和跟踪。</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5</w:t>
      </w:r>
      <w:r>
        <w:rPr>
          <w:rFonts w:hint="eastAsia"/>
          <w:lang w:eastAsia="zh-CN"/>
        </w:rPr>
        <w:t>．</w:t>
      </w:r>
      <w: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黑体" w:cs="Times New Roman"/>
        </w:rPr>
      </w:pPr>
      <w:r>
        <w:rPr>
          <w:rFonts w:ascii="Times New Roman" w:hAnsi="Times New Roman" w:eastAsia="黑体" w:cs="Times New Roman"/>
        </w:rPr>
        <w:t>八</w:t>
      </w:r>
      <w:r>
        <w:rPr>
          <w:rFonts w:hint="eastAsia" w:ascii="Times New Roman" w:hAnsi="Times New Roman" w:eastAsia="黑体" w:cs="Times New Roman"/>
          <w:lang w:eastAsia="zh-CN"/>
        </w:rPr>
        <w:t>、</w:t>
      </w:r>
      <w:r>
        <w:rPr>
          <w:rFonts w:ascii="Times New Roman" w:hAnsi="Times New Roman" w:eastAsia="黑体" w:cs="Times New Roman"/>
        </w:rPr>
        <w:t>其他需要说明的问题</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本项目无其他需说明的问题。</w:t>
      </w:r>
    </w:p>
    <w:p>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ascii="仿宋" w:hAnsi="仿宋" w:eastAsia="仿宋" w:cs="仿宋"/>
          <w:color w:val="auto"/>
          <w:sz w:val="31"/>
          <w:szCs w:val="31"/>
        </w:rPr>
        <w:sectPr>
          <w:headerReference r:id="rId5" w:type="default"/>
          <w:footerReference r:id="rId6" w:type="default"/>
          <w:pgSz w:w="11906" w:h="16839"/>
          <w:pgMar w:top="2098" w:right="1531" w:bottom="1984" w:left="1531" w:header="0" w:footer="1531" w:gutter="0"/>
          <w:cols w:space="0" w:num="1"/>
          <w:rtlGutter w:val="0"/>
          <w:docGrid w:type="linesAndChars" w:linePitch="579" w:charSpace="-849"/>
        </w:sectPr>
      </w:pPr>
    </w:p>
    <w:p>
      <w:pPr>
        <w:spacing w:before="100" w:line="230" w:lineRule="auto"/>
        <w:rPr>
          <w:rFonts w:hint="eastAsia" w:ascii="Times New Roman" w:hAnsi="Times New Roman" w:eastAsia="宋体" w:cs="Times New Roman"/>
          <w:color w:val="auto"/>
          <w:spacing w:val="-4"/>
          <w:sz w:val="31"/>
          <w:szCs w:val="31"/>
          <w:lang w:val="en-US" w:eastAsia="zh-CN"/>
        </w:rPr>
      </w:pPr>
      <w:r>
        <w:rPr>
          <w:rFonts w:ascii="黑体" w:hAnsi="黑体" w:eastAsia="黑体" w:cs="黑体"/>
          <w:color w:val="auto"/>
          <w:spacing w:val="-4"/>
          <w:sz w:val="31"/>
          <w:szCs w:val="31"/>
        </w:rPr>
        <w:t>附件</w:t>
      </w:r>
      <w:r>
        <w:rPr>
          <w:rFonts w:hint="eastAsia" w:ascii="Times New Roman" w:hAnsi="Times New Roman" w:eastAsia="宋体" w:cs="Times New Roman"/>
          <w:color w:val="auto"/>
          <w:spacing w:val="-4"/>
          <w:sz w:val="31"/>
          <w:szCs w:val="31"/>
          <w:lang w:val="en-US" w:eastAsia="zh-CN"/>
        </w:rPr>
        <w:t>1</w:t>
      </w:r>
    </w:p>
    <w:p>
      <w:pPr>
        <w:spacing w:before="100" w:line="230" w:lineRule="auto"/>
        <w:rPr>
          <w:rFonts w:hint="eastAsia" w:ascii="Times New Roman" w:hAnsi="Times New Roman" w:eastAsia="宋体" w:cs="Times New Roman"/>
          <w:color w:val="auto"/>
          <w:spacing w:val="-4"/>
          <w:sz w:val="31"/>
          <w:szCs w:val="31"/>
          <w:lang w:val="en-US" w:eastAsia="zh-CN"/>
        </w:rPr>
      </w:pPr>
    </w:p>
    <w:p>
      <w:pPr>
        <w:keepNext w:val="0"/>
        <w:keepLines w:val="0"/>
        <w:pageBreakBefore w:val="0"/>
        <w:widowControl w:val="0"/>
        <w:kinsoku/>
        <w:wordWrap/>
        <w:overflowPunct/>
        <w:topLinePunct w:val="0"/>
        <w:autoSpaceDE/>
        <w:autoSpaceDN/>
        <w:bidi w:val="0"/>
        <w:adjustRightInd w:val="0"/>
        <w:snapToGrid/>
        <w:spacing w:line="560" w:lineRule="exact"/>
        <w:jc w:val="center"/>
        <w:textAlignment w:val="baseline"/>
        <w:rPr>
          <w:rFonts w:hint="default" w:ascii="Times New Roman" w:hAnsi="Times New Roman" w:eastAsia="方正小标宋简体" w:cs="Times New Roman"/>
          <w:b w:val="0"/>
          <w:bCs/>
          <w:color w:val="auto"/>
          <w:spacing w:val="0"/>
          <w:sz w:val="44"/>
          <w:szCs w:val="44"/>
        </w:rPr>
      </w:pPr>
      <w:r>
        <w:rPr>
          <w:rFonts w:hint="default" w:ascii="Times New Roman" w:hAnsi="Times New Roman" w:eastAsia="方正小标宋简体" w:cs="Times New Roman"/>
          <w:b w:val="0"/>
          <w:bCs/>
          <w:color w:val="auto"/>
          <w:spacing w:val="0"/>
          <w:sz w:val="44"/>
          <w:szCs w:val="44"/>
          <w:lang w:eastAsia="zh-CN"/>
        </w:rPr>
        <w:t>2025年自治区药品监管补助</w:t>
      </w:r>
      <w:r>
        <w:rPr>
          <w:rFonts w:hint="default" w:ascii="Times New Roman" w:hAnsi="Times New Roman" w:eastAsia="方正小标宋简体" w:cs="Times New Roman"/>
          <w:b w:val="0"/>
          <w:bCs/>
          <w:color w:val="auto"/>
          <w:spacing w:val="0"/>
          <w:sz w:val="44"/>
          <w:szCs w:val="44"/>
        </w:rPr>
        <w:t>项目绩效评价指标体系及综合评分表</w:t>
      </w:r>
    </w:p>
    <w:p>
      <w:pPr>
        <w:spacing w:line="25" w:lineRule="auto"/>
        <w:rPr>
          <w:rFonts w:ascii="Arial"/>
          <w:color w:val="auto"/>
          <w:sz w:val="2"/>
        </w:rPr>
      </w:pPr>
    </w:p>
    <w:tbl>
      <w:tblPr>
        <w:tblStyle w:val="7"/>
        <w:tblW w:w="13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
        <w:gridCol w:w="693"/>
        <w:gridCol w:w="837"/>
        <w:gridCol w:w="1163"/>
        <w:gridCol w:w="3637"/>
        <w:gridCol w:w="2"/>
        <w:gridCol w:w="5923"/>
        <w:gridCol w:w="729"/>
        <w:gridCol w:w="1"/>
        <w:gridCol w:w="72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 w:type="dxa"/>
          <w:trHeight w:val="565" w:hRule="atLeast"/>
          <w:tblHeader/>
          <w:jc w:val="center"/>
        </w:trPr>
        <w:tc>
          <w:tcPr>
            <w:tcW w:w="700"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eastAsia" w:ascii="黑体" w:hAnsi="黑体" w:eastAsia="黑体" w:cs="黑体"/>
                <w:b w:val="0"/>
                <w:bCs w:val="0"/>
                <w:snapToGrid/>
                <w:color w:val="auto"/>
                <w:spacing w:val="0"/>
                <w:kern w:val="21"/>
                <w:position w:val="0"/>
                <w:sz w:val="24"/>
                <w:szCs w:val="24"/>
              </w:rPr>
            </w:pPr>
            <w:r>
              <w:rPr>
                <w:rFonts w:hint="eastAsia" w:ascii="黑体" w:hAnsi="黑体" w:eastAsia="黑体" w:cs="黑体"/>
                <w:b w:val="0"/>
                <w:bCs w:val="0"/>
                <w:snapToGrid/>
                <w:color w:val="auto"/>
                <w:spacing w:val="0"/>
                <w:kern w:val="21"/>
                <w:position w:val="0"/>
                <w:sz w:val="24"/>
                <w:szCs w:val="24"/>
              </w:rPr>
              <w:t>一级指标</w:t>
            </w:r>
          </w:p>
        </w:tc>
        <w:tc>
          <w:tcPr>
            <w:tcW w:w="837"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eastAsia" w:ascii="黑体" w:hAnsi="黑体" w:eastAsia="黑体" w:cs="黑体"/>
                <w:b w:val="0"/>
                <w:bCs w:val="0"/>
                <w:snapToGrid/>
                <w:color w:val="auto"/>
                <w:spacing w:val="0"/>
                <w:kern w:val="21"/>
                <w:position w:val="0"/>
                <w:sz w:val="24"/>
                <w:szCs w:val="24"/>
              </w:rPr>
            </w:pPr>
            <w:r>
              <w:rPr>
                <w:rFonts w:hint="eastAsia" w:ascii="黑体" w:hAnsi="黑体" w:eastAsia="黑体" w:cs="黑体"/>
                <w:b w:val="0"/>
                <w:bCs w:val="0"/>
                <w:snapToGrid/>
                <w:color w:val="auto"/>
                <w:spacing w:val="0"/>
                <w:kern w:val="21"/>
                <w:position w:val="0"/>
                <w:sz w:val="24"/>
                <w:szCs w:val="24"/>
              </w:rPr>
              <w:t>二级</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eastAsia" w:ascii="黑体" w:hAnsi="黑体" w:eastAsia="黑体" w:cs="黑体"/>
                <w:b w:val="0"/>
                <w:bCs w:val="0"/>
                <w:snapToGrid/>
                <w:color w:val="auto"/>
                <w:spacing w:val="0"/>
                <w:kern w:val="21"/>
                <w:position w:val="0"/>
                <w:sz w:val="24"/>
                <w:szCs w:val="24"/>
              </w:rPr>
            </w:pPr>
            <w:r>
              <w:rPr>
                <w:rFonts w:hint="eastAsia" w:ascii="黑体" w:hAnsi="黑体" w:eastAsia="黑体" w:cs="黑体"/>
                <w:b w:val="0"/>
                <w:bCs w:val="0"/>
                <w:snapToGrid/>
                <w:color w:val="auto"/>
                <w:spacing w:val="0"/>
                <w:kern w:val="21"/>
                <w:position w:val="0"/>
                <w:sz w:val="24"/>
                <w:szCs w:val="24"/>
              </w:rPr>
              <w:t>指标</w:t>
            </w: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eastAsia" w:ascii="黑体" w:hAnsi="黑体" w:eastAsia="黑体" w:cs="黑体"/>
                <w:b w:val="0"/>
                <w:bCs w:val="0"/>
                <w:snapToGrid/>
                <w:color w:val="auto"/>
                <w:spacing w:val="0"/>
                <w:kern w:val="21"/>
                <w:position w:val="0"/>
                <w:sz w:val="24"/>
                <w:szCs w:val="24"/>
              </w:rPr>
            </w:pPr>
            <w:r>
              <w:rPr>
                <w:rFonts w:hint="eastAsia" w:ascii="黑体" w:hAnsi="黑体" w:eastAsia="黑体" w:cs="黑体"/>
                <w:b w:val="0"/>
                <w:bCs w:val="0"/>
                <w:snapToGrid/>
                <w:color w:val="auto"/>
                <w:spacing w:val="0"/>
                <w:kern w:val="21"/>
                <w:position w:val="0"/>
                <w:sz w:val="24"/>
                <w:szCs w:val="24"/>
              </w:rPr>
              <w:t>三级指标</w:t>
            </w:r>
          </w:p>
        </w:tc>
        <w:tc>
          <w:tcPr>
            <w:tcW w:w="3637"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eastAsia" w:ascii="黑体" w:hAnsi="黑体" w:eastAsia="黑体" w:cs="黑体"/>
                <w:b w:val="0"/>
                <w:bCs w:val="0"/>
                <w:snapToGrid/>
                <w:color w:val="auto"/>
                <w:spacing w:val="0"/>
                <w:kern w:val="21"/>
                <w:position w:val="0"/>
                <w:sz w:val="24"/>
                <w:szCs w:val="24"/>
              </w:rPr>
            </w:pPr>
            <w:r>
              <w:rPr>
                <w:rFonts w:hint="eastAsia" w:ascii="黑体" w:hAnsi="黑体" w:eastAsia="黑体" w:cs="黑体"/>
                <w:b w:val="0"/>
                <w:bCs w:val="0"/>
                <w:snapToGrid/>
                <w:color w:val="auto"/>
                <w:spacing w:val="0"/>
                <w:kern w:val="21"/>
                <w:position w:val="0"/>
                <w:sz w:val="24"/>
                <w:szCs w:val="24"/>
              </w:rPr>
              <w:t>指标解释</w:t>
            </w:r>
          </w:p>
        </w:tc>
        <w:tc>
          <w:tcPr>
            <w:tcW w:w="5925"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eastAsia" w:ascii="黑体" w:hAnsi="黑体" w:eastAsia="黑体" w:cs="黑体"/>
                <w:b w:val="0"/>
                <w:bCs w:val="0"/>
                <w:snapToGrid/>
                <w:color w:val="auto"/>
                <w:spacing w:val="0"/>
                <w:kern w:val="21"/>
                <w:position w:val="0"/>
                <w:sz w:val="24"/>
                <w:szCs w:val="24"/>
              </w:rPr>
            </w:pPr>
            <w:r>
              <w:rPr>
                <w:rFonts w:hint="eastAsia" w:ascii="黑体" w:hAnsi="黑体" w:eastAsia="黑体" w:cs="黑体"/>
                <w:b w:val="0"/>
                <w:bCs w:val="0"/>
                <w:snapToGrid/>
                <w:color w:val="auto"/>
                <w:spacing w:val="0"/>
                <w:kern w:val="21"/>
                <w:position w:val="0"/>
                <w:sz w:val="24"/>
                <w:szCs w:val="24"/>
              </w:rPr>
              <w:t>指标说明</w:t>
            </w:r>
          </w:p>
        </w:tc>
        <w:tc>
          <w:tcPr>
            <w:tcW w:w="729"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eastAsia" w:ascii="黑体" w:hAnsi="黑体" w:eastAsia="黑体" w:cs="黑体"/>
                <w:b w:val="0"/>
                <w:bCs w:val="0"/>
                <w:snapToGrid/>
                <w:color w:val="auto"/>
                <w:spacing w:val="0"/>
                <w:kern w:val="21"/>
                <w:position w:val="0"/>
                <w:sz w:val="24"/>
                <w:szCs w:val="24"/>
              </w:rPr>
            </w:pPr>
            <w:r>
              <w:rPr>
                <w:rFonts w:hint="eastAsia" w:ascii="黑体" w:hAnsi="黑体" w:eastAsia="黑体" w:cs="黑体"/>
                <w:b w:val="0"/>
                <w:bCs w:val="0"/>
                <w:snapToGrid/>
                <w:color w:val="auto"/>
                <w:spacing w:val="0"/>
                <w:kern w:val="21"/>
                <w:position w:val="0"/>
                <w:sz w:val="24"/>
                <w:szCs w:val="24"/>
              </w:rPr>
              <w:t>权重</w:t>
            </w:r>
          </w:p>
        </w:tc>
        <w:tc>
          <w:tcPr>
            <w:tcW w:w="729"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eastAsia" w:ascii="黑体" w:hAnsi="黑体" w:eastAsia="黑体" w:cs="黑体"/>
                <w:b w:val="0"/>
                <w:bCs w:val="0"/>
                <w:snapToGrid/>
                <w:color w:val="auto"/>
                <w:spacing w:val="0"/>
                <w:kern w:val="21"/>
                <w:position w:val="0"/>
                <w:sz w:val="24"/>
                <w:szCs w:val="24"/>
              </w:rPr>
            </w:pPr>
            <w:r>
              <w:rPr>
                <w:rFonts w:hint="eastAsia" w:ascii="黑体" w:hAnsi="黑体" w:eastAsia="黑体" w:cs="黑体"/>
                <w:b w:val="0"/>
                <w:bCs w:val="0"/>
                <w:snapToGrid/>
                <w:color w:val="auto"/>
                <w:spacing w:val="0"/>
                <w:kern w:val="21"/>
                <w:positio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 w:type="dxa"/>
          <w:trHeight w:val="3581" w:hRule="atLeast"/>
          <w:jc w:val="center"/>
        </w:trPr>
        <w:tc>
          <w:tcPr>
            <w:tcW w:w="700" w:type="dxa"/>
            <w:gridSpan w:val="2"/>
            <w:vMerge w:val="restart"/>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决策</w:t>
            </w:r>
          </w:p>
        </w:tc>
        <w:tc>
          <w:tcPr>
            <w:tcW w:w="837" w:type="dxa"/>
            <w:vMerge w:val="restart"/>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项目</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立项</w:t>
            </w: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立项依据充分性</w:t>
            </w:r>
          </w:p>
        </w:tc>
        <w:tc>
          <w:tcPr>
            <w:tcW w:w="3637"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项目立项是否符合法律法规、相关政策、发展规划以及部门职责，用以反映和考核项目立项依据情况。</w:t>
            </w:r>
          </w:p>
        </w:tc>
        <w:tc>
          <w:tcPr>
            <w:tcW w:w="5925"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评价要点：</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①项目立项是否符合国家法律法规、国民经济发展规划和相关政策；</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②项目立项是否符合行业发展规划和政策要求；</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③项目立项是否与部门职责范围相符，属于部门履职所需；</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④项目是否属于公共财政支持范围，是否符合中央、地方事权支出责任划分原则；</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⑤项目是否与相关部门同类项目或部门内部相关项目重复。</w:t>
            </w:r>
          </w:p>
        </w:tc>
        <w:tc>
          <w:tcPr>
            <w:tcW w:w="729" w:type="dxa"/>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3</w:t>
            </w:r>
          </w:p>
        </w:tc>
        <w:tc>
          <w:tcPr>
            <w:tcW w:w="729"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 w:type="dxa"/>
          <w:trHeight w:val="1967" w:hRule="atLeast"/>
          <w:jc w:val="center"/>
        </w:trPr>
        <w:tc>
          <w:tcPr>
            <w:tcW w:w="700" w:type="dxa"/>
            <w:gridSpan w:val="2"/>
            <w:vMerge w:val="continue"/>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837" w:type="dxa"/>
            <w:vMerge w:val="continue"/>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立项程序规范性</w:t>
            </w:r>
          </w:p>
        </w:tc>
        <w:tc>
          <w:tcPr>
            <w:tcW w:w="3637"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项目申请、设立过程是否符合相关要求，用以反映和考核项目立项的规范情况。</w:t>
            </w:r>
          </w:p>
        </w:tc>
        <w:tc>
          <w:tcPr>
            <w:tcW w:w="5925"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评价要点：</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①项目是否按照规定的程序申请设立；</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②审批文件、材料是否符合相关要求；</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③事前是否已经过必要的可行性研究、专家论证、风险评估、绩效评估、集体决策。</w:t>
            </w:r>
          </w:p>
        </w:tc>
        <w:tc>
          <w:tcPr>
            <w:tcW w:w="729" w:type="dxa"/>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3</w:t>
            </w:r>
          </w:p>
        </w:tc>
        <w:tc>
          <w:tcPr>
            <w:tcW w:w="729"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7" w:type="dxa"/>
          <w:trHeight w:val="1587" w:hRule="atLeast"/>
          <w:jc w:val="center"/>
        </w:trPr>
        <w:tc>
          <w:tcPr>
            <w:tcW w:w="693" w:type="dxa"/>
            <w:vMerge w:val="restart"/>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决策</w:t>
            </w:r>
          </w:p>
        </w:tc>
        <w:tc>
          <w:tcPr>
            <w:tcW w:w="837" w:type="dxa"/>
            <w:vMerge w:val="restart"/>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lang w:val="en-US" w:eastAsia="en-US" w:bidi="ar-SA"/>
              </w:rPr>
            </w:pPr>
            <w:r>
              <w:rPr>
                <w:rFonts w:hint="default" w:ascii="Times New Roman" w:hAnsi="Times New Roman" w:eastAsia="仿宋_GB2312" w:cs="Times New Roman"/>
                <w:b w:val="0"/>
                <w:bCs w:val="0"/>
                <w:snapToGrid/>
                <w:color w:val="auto"/>
                <w:spacing w:val="0"/>
                <w:kern w:val="21"/>
                <w:position w:val="0"/>
                <w:sz w:val="24"/>
                <w:szCs w:val="24"/>
                <w:lang w:val="en-US" w:eastAsia="en-US" w:bidi="ar-SA"/>
              </w:rPr>
              <w:t>绩效</w:t>
            </w:r>
          </w:p>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lang w:val="en-US" w:eastAsia="en-US" w:bidi="ar-SA"/>
              </w:rPr>
              <w:t>目标</w:t>
            </w: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绩效目标合理性</w:t>
            </w:r>
          </w:p>
        </w:tc>
        <w:tc>
          <w:tcPr>
            <w:tcW w:w="3639"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项目所设定的绩效目标是否依据充分，是否符合客观实际，用以反映和考核项目绩效目标与项目实施的相符情况。</w:t>
            </w:r>
          </w:p>
        </w:tc>
        <w:tc>
          <w:tcPr>
            <w:tcW w:w="592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评价要点：</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①项目是否有绩效目标；</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②项目绩效目标与实际工作内容是否具有相关性；</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③项目预期产出效益和效果是否符合正常的业绩水平；</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④是否与预算确定的项目投资额或资金量相匹配。</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3</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7" w:type="dxa"/>
          <w:trHeight w:val="1587" w:hRule="atLeast"/>
          <w:jc w:val="center"/>
        </w:trPr>
        <w:tc>
          <w:tcPr>
            <w:tcW w:w="693" w:type="dxa"/>
            <w:vMerge w:val="continue"/>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837" w:type="dxa"/>
            <w:vMerge w:val="continue"/>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绩效指标明确性</w:t>
            </w:r>
          </w:p>
        </w:tc>
        <w:tc>
          <w:tcPr>
            <w:tcW w:w="3639"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依据绩效目标设定的绩效指标是否清晰、细化、可衡量等，用以反映和考核项目绩效目标的明细化情况。</w:t>
            </w:r>
          </w:p>
        </w:tc>
        <w:tc>
          <w:tcPr>
            <w:tcW w:w="592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评价要点：</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①是否将项目绩效目标细化分解为具体的绩效指标；</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②是否通过清晰、可衡量的指标值予以体现；</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③是否与项目目标任务数或计划数相对应。</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3</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7" w:type="dxa"/>
          <w:trHeight w:val="2068" w:hRule="atLeast"/>
          <w:jc w:val="center"/>
        </w:trPr>
        <w:tc>
          <w:tcPr>
            <w:tcW w:w="693" w:type="dxa"/>
            <w:vMerge w:val="continue"/>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837" w:type="dxa"/>
            <w:vMerge w:val="restart"/>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资金</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投入</w:t>
            </w: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预算编制科学性</w:t>
            </w:r>
          </w:p>
        </w:tc>
        <w:tc>
          <w:tcPr>
            <w:tcW w:w="3639"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项目预算编制是否经过科学论证、有明确标准，资金额度与年度目标是否相适应，用以反映和考核项目预算编制的科学性、合理性情况。</w:t>
            </w:r>
          </w:p>
        </w:tc>
        <w:tc>
          <w:tcPr>
            <w:tcW w:w="592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评价要点：</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①预算编制是否经过科学论证；</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②预算内容与项目内容是否匹配；</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③预算额度测算依据是否充分，是否按照标准编制；</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④预算确定的项目投资额或资金量是否与工作任务相匹配。</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4</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7" w:type="dxa"/>
          <w:trHeight w:val="1757" w:hRule="atLeast"/>
          <w:jc w:val="center"/>
        </w:trPr>
        <w:tc>
          <w:tcPr>
            <w:tcW w:w="693" w:type="dxa"/>
            <w:vMerge w:val="continue"/>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837" w:type="dxa"/>
            <w:vMerge w:val="continue"/>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资金分配合理性</w:t>
            </w:r>
          </w:p>
        </w:tc>
        <w:tc>
          <w:tcPr>
            <w:tcW w:w="3639"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项目预算资金分配是否有测算依据，与补助单位或地方实际是否相适应，用以反映和考核项目预算资金分配的科学性、合理性情况。</w:t>
            </w:r>
          </w:p>
        </w:tc>
        <w:tc>
          <w:tcPr>
            <w:tcW w:w="592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评价要点：</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①预算资金分配依据是否充分；</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②资金分配额度是否合理，与项目单位或地方实际是否相适应。</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4</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7" w:type="dxa"/>
          <w:trHeight w:val="2261" w:hRule="atLeast"/>
          <w:jc w:val="center"/>
        </w:trPr>
        <w:tc>
          <w:tcPr>
            <w:tcW w:w="693" w:type="dxa"/>
            <w:vMerge w:val="restart"/>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过程</w:t>
            </w:r>
          </w:p>
        </w:tc>
        <w:tc>
          <w:tcPr>
            <w:tcW w:w="837" w:type="dxa"/>
            <w:vMerge w:val="restart"/>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资金</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管理</w:t>
            </w: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资金到位率</w:t>
            </w:r>
          </w:p>
        </w:tc>
        <w:tc>
          <w:tcPr>
            <w:tcW w:w="3639"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实际到位资金与预算资金的比率，用以反映和考核资金落实情况对项目实施的总体保障程度。</w:t>
            </w:r>
          </w:p>
        </w:tc>
        <w:tc>
          <w:tcPr>
            <w:tcW w:w="592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资金到位率=（实际到位资金/预算资金）×100%。</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实际到位资金：一定时期（本年度或项目期）内落实到具体项目的资金。</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预算资金：一定时期（本年度或项目期）内预算安排到具体项目的资金。</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4</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7" w:type="dxa"/>
          <w:trHeight w:val="1713" w:hRule="atLeast"/>
          <w:jc w:val="center"/>
        </w:trPr>
        <w:tc>
          <w:tcPr>
            <w:tcW w:w="693" w:type="dxa"/>
            <w:vMerge w:val="continue"/>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837" w:type="dxa"/>
            <w:vMerge w:val="continue"/>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预算执行率</w:t>
            </w:r>
          </w:p>
        </w:tc>
        <w:tc>
          <w:tcPr>
            <w:tcW w:w="3639"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项目预算资金是否按照计划执行，用以反映或考核项目预算执行情况。</w:t>
            </w:r>
          </w:p>
        </w:tc>
        <w:tc>
          <w:tcPr>
            <w:tcW w:w="592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预算执行率=（实际支出资金/实际到位资金）×100%。</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实际支出资金：一定时期（本年度或项目期）内项目实际拨付的资金。</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4</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lang w:val="en-US" w:eastAsia="zh-CN"/>
              </w:rPr>
              <w:t>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7" w:type="dxa"/>
          <w:trHeight w:val="2843" w:hRule="atLeast"/>
          <w:jc w:val="center"/>
        </w:trPr>
        <w:tc>
          <w:tcPr>
            <w:tcW w:w="693" w:type="dxa"/>
            <w:vMerge w:val="continue"/>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837" w:type="dxa"/>
            <w:vMerge w:val="continue"/>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资金使用合规性</w:t>
            </w:r>
          </w:p>
        </w:tc>
        <w:tc>
          <w:tcPr>
            <w:tcW w:w="3639"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项目资金使用是否符合相关的财务管理制度规定，用以反映和考核项目资金的规范运行情况。</w:t>
            </w:r>
          </w:p>
        </w:tc>
        <w:tc>
          <w:tcPr>
            <w:tcW w:w="592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评价要点：</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①是否符合国家财经法规和财务管理制度以及有关专项资金管理办法的规定；</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②资金的拨付是否有完整的审批程序和手续；</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③是否符合项目预算批复或合同规定的用途；</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④是否存在截留、挤占、挪用、虚列支出等情况。</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4</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7" w:type="dxa"/>
          <w:trHeight w:val="3412" w:hRule="atLeast"/>
          <w:jc w:val="center"/>
        </w:trPr>
        <w:tc>
          <w:tcPr>
            <w:tcW w:w="693" w:type="dxa"/>
            <w:vMerge w:val="restart"/>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过程</w:t>
            </w:r>
          </w:p>
        </w:tc>
        <w:tc>
          <w:tcPr>
            <w:tcW w:w="837" w:type="dxa"/>
            <w:vMerge w:val="restart"/>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组织</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实施</w:t>
            </w: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管理制度健全性</w:t>
            </w:r>
          </w:p>
        </w:tc>
        <w:tc>
          <w:tcPr>
            <w:tcW w:w="3639"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项目实施单位的财务和业务管理制度是否健全，用以反映和考核财务和业务管理制度对项目顺利实施的保障情况。</w:t>
            </w:r>
          </w:p>
        </w:tc>
        <w:tc>
          <w:tcPr>
            <w:tcW w:w="592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评价要点：</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①是否已制定或具有相应的财务和业务管理制度；</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②财务和业务管理制度是否合法、合规、完整。</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4</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7" w:type="dxa"/>
          <w:trHeight w:val="3412" w:hRule="atLeast"/>
          <w:jc w:val="center"/>
        </w:trPr>
        <w:tc>
          <w:tcPr>
            <w:tcW w:w="693" w:type="dxa"/>
            <w:vMerge w:val="continue"/>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837" w:type="dxa"/>
            <w:vMerge w:val="continue"/>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制度执行有效性</w:t>
            </w:r>
          </w:p>
        </w:tc>
        <w:tc>
          <w:tcPr>
            <w:tcW w:w="3639"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项目实施是否符合相关管理规定，用以反映和考核相关管理制度的有效执行情况。</w:t>
            </w:r>
          </w:p>
        </w:tc>
        <w:tc>
          <w:tcPr>
            <w:tcW w:w="592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评价要点：</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①是否遵守相关法律法规和相关管理规定；</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②项目调整及支出调整手续是否完备；</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③项目合同书、验收报告、技术鉴定等资料是否齐全并及时归档；</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④项目实施的人员条件、场地设备、信息支撑等是否落实到位。</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4</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7" w:type="dxa"/>
          <w:trHeight w:val="1758" w:hRule="atLeast"/>
          <w:jc w:val="center"/>
        </w:trPr>
        <w:tc>
          <w:tcPr>
            <w:tcW w:w="693" w:type="dxa"/>
            <w:vMerge w:val="restart"/>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产出</w:t>
            </w:r>
          </w:p>
        </w:tc>
        <w:tc>
          <w:tcPr>
            <w:tcW w:w="837"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产出</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数量</w:t>
            </w: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实际完成率</w:t>
            </w:r>
          </w:p>
        </w:tc>
        <w:tc>
          <w:tcPr>
            <w:tcW w:w="3639"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项目实施的实际产出数与计划产出数的比率，用以反映和考核项目产出数量目标的实现程度。</w:t>
            </w:r>
          </w:p>
        </w:tc>
        <w:tc>
          <w:tcPr>
            <w:tcW w:w="592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实际完成率=（实际产出数/计划产出数）×100%。</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实际产出数：一定时期（本年度或项目期）内项目实际产出的产品或提供的服务数量。</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计划产出数：项目绩效目标确定的在一定时期（本年度或项目期）内计划产出的产品或提供的服务数量。</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10</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7" w:type="dxa"/>
          <w:trHeight w:val="1759" w:hRule="atLeast"/>
          <w:jc w:val="center"/>
        </w:trPr>
        <w:tc>
          <w:tcPr>
            <w:tcW w:w="693" w:type="dxa"/>
            <w:vMerge w:val="continue"/>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837"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产出</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质量</w:t>
            </w: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质量达标率</w:t>
            </w:r>
          </w:p>
        </w:tc>
        <w:tc>
          <w:tcPr>
            <w:tcW w:w="3639"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项目完成的质量达标产出数与实际产出数的比率，用以反映和考核项目产出质量目标的实现程度。</w:t>
            </w:r>
          </w:p>
        </w:tc>
        <w:tc>
          <w:tcPr>
            <w:tcW w:w="592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baseline"/>
              <w:outlineLvl w:val="9"/>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质量达标率=（质量达标产出数/实际产出数）×100%。</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10</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7" w:type="dxa"/>
          <w:trHeight w:val="1460" w:hRule="atLeast"/>
          <w:jc w:val="center"/>
        </w:trPr>
        <w:tc>
          <w:tcPr>
            <w:tcW w:w="693" w:type="dxa"/>
            <w:vMerge w:val="continue"/>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837"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产出</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时效</w:t>
            </w: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完成及时性</w:t>
            </w:r>
          </w:p>
        </w:tc>
        <w:tc>
          <w:tcPr>
            <w:tcW w:w="3639"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baseline"/>
              <w:outlineLvl w:val="9"/>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项目实际完成时间与计划完成时间的比较，用以反映和考核项目产出时效目标的实现程度。</w:t>
            </w:r>
          </w:p>
        </w:tc>
        <w:tc>
          <w:tcPr>
            <w:tcW w:w="592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实际完成时间：项目实施单位完成该项目实际所耗用的时间。</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计划完成时间：按照项目实施计划或相关规定完成该项目所需的时间。</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10</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7" w:type="dxa"/>
          <w:trHeight w:val="2041" w:hRule="atLeast"/>
          <w:jc w:val="center"/>
        </w:trPr>
        <w:tc>
          <w:tcPr>
            <w:tcW w:w="693" w:type="dxa"/>
            <w:vMerge w:val="continue"/>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837"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产出</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成本</w:t>
            </w: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成本节约率</w:t>
            </w:r>
          </w:p>
        </w:tc>
        <w:tc>
          <w:tcPr>
            <w:tcW w:w="3639"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完成项目计划工作目标的实际节约成本与计划成本的比率，用以反映和考核项目的成本节约程度。</w:t>
            </w:r>
          </w:p>
        </w:tc>
        <w:tc>
          <w:tcPr>
            <w:tcW w:w="592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成本节约率=</w:t>
            </w:r>
            <w:r>
              <w:rPr>
                <w:rFonts w:hint="eastAsia" w:ascii="仿宋_GB2312" w:hAnsi="仿宋_GB2312" w:eastAsia="仿宋_GB2312" w:cs="仿宋_GB2312"/>
                <w:b w:val="0"/>
                <w:bCs w:val="0"/>
                <w:snapToGrid/>
                <w:color w:val="auto"/>
                <w:spacing w:val="0"/>
                <w:kern w:val="21"/>
                <w:position w:val="0"/>
                <w:sz w:val="24"/>
                <w:szCs w:val="24"/>
              </w:rPr>
              <w:t>[</w:t>
            </w:r>
            <w:r>
              <w:rPr>
                <w:rFonts w:hint="default" w:ascii="Times New Roman" w:hAnsi="Times New Roman" w:eastAsia="仿宋_GB2312" w:cs="Times New Roman"/>
                <w:b w:val="0"/>
                <w:bCs w:val="0"/>
                <w:snapToGrid/>
                <w:color w:val="auto"/>
                <w:spacing w:val="0"/>
                <w:kern w:val="21"/>
                <w:position w:val="0"/>
                <w:sz w:val="24"/>
                <w:szCs w:val="24"/>
              </w:rPr>
              <w:t>（计划成本</w:t>
            </w:r>
            <w:r>
              <w:rPr>
                <w:rFonts w:hint="default" w:ascii="Times New Roman" w:hAnsi="Times New Roman" w:eastAsia="仿宋_GB2312" w:cs="Times New Roman"/>
                <w:b w:val="0"/>
                <w:bCs w:val="0"/>
                <w:snapToGrid/>
                <w:color w:val="auto"/>
                <w:spacing w:val="0"/>
                <w:kern w:val="21"/>
                <w:position w:val="0"/>
                <w:sz w:val="24"/>
                <w:szCs w:val="24"/>
                <w:lang w:eastAsia="zh-CN"/>
              </w:rPr>
              <w:t>—</w:t>
            </w:r>
            <w:r>
              <w:rPr>
                <w:rFonts w:hint="default" w:ascii="Times New Roman" w:hAnsi="Times New Roman" w:eastAsia="仿宋_GB2312" w:cs="Times New Roman"/>
                <w:b w:val="0"/>
                <w:bCs w:val="0"/>
                <w:snapToGrid/>
                <w:color w:val="auto"/>
                <w:spacing w:val="0"/>
                <w:kern w:val="21"/>
                <w:position w:val="0"/>
                <w:sz w:val="24"/>
                <w:szCs w:val="24"/>
              </w:rPr>
              <w:t>实际成本）/计划成本</w:t>
            </w:r>
            <w:r>
              <w:rPr>
                <w:rFonts w:hint="eastAsia" w:ascii="仿宋_GB2312" w:hAnsi="仿宋_GB2312" w:eastAsia="仿宋_GB2312" w:cs="仿宋_GB2312"/>
                <w:b w:val="0"/>
                <w:bCs w:val="0"/>
                <w:snapToGrid/>
                <w:color w:val="auto"/>
                <w:spacing w:val="0"/>
                <w:kern w:val="21"/>
                <w:position w:val="0"/>
                <w:sz w:val="24"/>
                <w:szCs w:val="24"/>
              </w:rPr>
              <w:t>]</w:t>
            </w:r>
            <w:r>
              <w:rPr>
                <w:rFonts w:hint="default" w:ascii="Times New Roman" w:hAnsi="Times New Roman" w:eastAsia="仿宋_GB2312" w:cs="Times New Roman"/>
                <w:b w:val="0"/>
                <w:bCs w:val="0"/>
                <w:snapToGrid/>
                <w:color w:val="auto"/>
                <w:spacing w:val="0"/>
                <w:kern w:val="21"/>
                <w:position w:val="0"/>
                <w:sz w:val="24"/>
                <w:szCs w:val="24"/>
              </w:rPr>
              <w:t>×100%</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实际成本：项目实施单位如期、保质、保量完成既定工作目标实际所耗费的支出。</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计划成本：项目实施单位为完成工作目标计划安排的支出，一般以项目预算为参考。</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10</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7" w:type="dxa"/>
          <w:trHeight w:val="1548" w:hRule="atLeast"/>
          <w:jc w:val="center"/>
        </w:trPr>
        <w:tc>
          <w:tcPr>
            <w:tcW w:w="693" w:type="dxa"/>
            <w:vMerge w:val="restart"/>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效益</w:t>
            </w:r>
          </w:p>
        </w:tc>
        <w:tc>
          <w:tcPr>
            <w:tcW w:w="837" w:type="dxa"/>
            <w:vMerge w:val="restart"/>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项目</w:t>
            </w:r>
          </w:p>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效益</w:t>
            </w: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实施效益</w:t>
            </w:r>
          </w:p>
        </w:tc>
        <w:tc>
          <w:tcPr>
            <w:tcW w:w="3639"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both"/>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项目实施所产生的效益。</w:t>
            </w:r>
          </w:p>
        </w:tc>
        <w:tc>
          <w:tcPr>
            <w:tcW w:w="592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baseline"/>
              <w:outlineLvl w:val="9"/>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项目实施所产生的社会效益、经济效益、生态效益、可持续影响等。可根据项目实际情况有选择地设置和细化。</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10</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7" w:type="dxa"/>
          <w:trHeight w:val="1347" w:hRule="atLeast"/>
          <w:jc w:val="center"/>
        </w:trPr>
        <w:tc>
          <w:tcPr>
            <w:tcW w:w="693" w:type="dxa"/>
            <w:vMerge w:val="continue"/>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837" w:type="dxa"/>
            <w:vMerge w:val="continue"/>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p>
        </w:tc>
        <w:tc>
          <w:tcPr>
            <w:tcW w:w="116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满意度</w:t>
            </w:r>
          </w:p>
        </w:tc>
        <w:tc>
          <w:tcPr>
            <w:tcW w:w="3639" w:type="dxa"/>
            <w:gridSpan w:val="2"/>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baseline"/>
              <w:outlineLvl w:val="9"/>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社会公众或服务对象对项目实施效果的满意程度。</w:t>
            </w:r>
          </w:p>
        </w:tc>
        <w:tc>
          <w:tcPr>
            <w:tcW w:w="5923" w:type="dxa"/>
            <w:tcMar>
              <w:top w:w="0" w:type="dxa"/>
              <w:left w:w="57" w:type="dxa"/>
              <w:bottom w:w="0" w:type="dxa"/>
              <w:right w:w="57" w:type="dxa"/>
            </w:tcMar>
            <w:vAlign w:val="center"/>
          </w:tcPr>
          <w:p>
            <w:pPr>
              <w:pStyle w:val="8"/>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baseline"/>
              <w:outlineLvl w:val="9"/>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社会公众或服务对象是指因该项目实施而受到影响的部门（单位）、群体或个人。一般采取社会调查的方式。</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10</w:t>
            </w:r>
          </w:p>
        </w:tc>
        <w:tc>
          <w:tcPr>
            <w:tcW w:w="730" w:type="dxa"/>
            <w:gridSpan w:val="2"/>
            <w:tcMar>
              <w:top w:w="0" w:type="dxa"/>
              <w:left w:w="57" w:type="dxa"/>
              <w:bottom w:w="0"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firstLine="0" w:firstLineChars="0"/>
              <w:jc w:val="center"/>
              <w:textAlignment w:val="baseline"/>
              <w:rPr>
                <w:rFonts w:hint="default" w:ascii="Times New Roman" w:hAnsi="Times New Roman" w:eastAsia="仿宋_GB2312" w:cs="Times New Roman"/>
                <w:b w:val="0"/>
                <w:bCs w:val="0"/>
                <w:snapToGrid/>
                <w:color w:val="auto"/>
                <w:spacing w:val="0"/>
                <w:kern w:val="21"/>
                <w:position w:val="0"/>
                <w:sz w:val="24"/>
                <w:szCs w:val="24"/>
              </w:rPr>
            </w:pPr>
            <w:r>
              <w:rPr>
                <w:rFonts w:hint="default" w:ascii="Times New Roman" w:hAnsi="Times New Roman" w:eastAsia="仿宋_GB2312" w:cs="Times New Roman"/>
                <w:b w:val="0"/>
                <w:bCs w:val="0"/>
                <w:snapToGrid/>
                <w:color w:val="auto"/>
                <w:spacing w:val="0"/>
                <w:kern w:val="21"/>
                <w:position w:val="0"/>
                <w:sz w:val="24"/>
                <w:szCs w:val="24"/>
              </w:rPr>
              <w:t>10</w:t>
            </w:r>
          </w:p>
        </w:tc>
      </w:tr>
    </w:tbl>
    <w:p>
      <w:pPr>
        <w:pStyle w:val="2"/>
        <w:rPr>
          <w:color w:val="auto"/>
        </w:rPr>
      </w:pPr>
    </w:p>
    <w:sectPr>
      <w:footerReference r:id="rId7" w:type="default"/>
      <w:pgSz w:w="16838" w:h="11905" w:orient="landscape"/>
      <w:pgMar w:top="2098" w:right="1531" w:bottom="1984" w:left="1531" w:header="0" w:footer="1531"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tabs>
        <w:tab w:val="left" w:pos="1766"/>
        <w:tab w:val="center" w:pos="4153"/>
        <w:tab w:val="right" w:pos="8306"/>
        <w:tab w:val="right" w:pos="8524"/>
      </w:tabs>
      <w:kinsoku w:val="0"/>
      <w:wordWrap/>
      <w:overflowPunct w:val="0"/>
      <w:topLinePunct w:val="0"/>
      <w:autoSpaceDE w:val="0"/>
      <w:autoSpaceDN w:val="0"/>
      <w:bidi w:val="0"/>
      <w:adjustRightInd w:val="0"/>
      <w:snapToGrid w:val="0"/>
      <w:ind w:left="320" w:leftChars="100" w:right="320" w:rightChars="100"/>
      <w:jc w:val="center"/>
      <w:textAlignment w:val="auto"/>
    </w:pPr>
    <w:r>
      <w:rPr>
        <w:rFonts w:hint="eastAsia" w:ascii="宋体" w:hAnsi="宋体" w:eastAsia="宋体"/>
        <w:kern w:val="21"/>
        <w:sz w:val="28"/>
        <w:szCs w:val="28"/>
      </w:rPr>
      <w:t>—</w:t>
    </w:r>
    <w:r>
      <w:rPr>
        <w:rFonts w:ascii="宋体" w:hAnsi="宋体" w:eastAsia="宋体"/>
        <w:kern w:val="21"/>
        <w:sz w:val="28"/>
        <w:szCs w:val="28"/>
      </w:rPr>
      <w:t xml:space="preserve"> </w:t>
    </w:r>
    <w:r>
      <w:rPr>
        <w:rFonts w:ascii="宋体" w:hAnsi="宋体" w:eastAsia="宋体"/>
        <w:kern w:val="21"/>
        <w:sz w:val="28"/>
        <w:szCs w:val="28"/>
      </w:rPr>
      <w:fldChar w:fldCharType="begin"/>
    </w:r>
    <w:r>
      <w:rPr>
        <w:rFonts w:ascii="宋体" w:hAnsi="宋体" w:eastAsia="宋体"/>
        <w:kern w:val="21"/>
        <w:sz w:val="28"/>
        <w:szCs w:val="28"/>
      </w:rPr>
      <w:instrText xml:space="preserve"> PAGE </w:instrText>
    </w:r>
    <w:r>
      <w:rPr>
        <w:rFonts w:ascii="宋体" w:hAnsi="宋体" w:eastAsia="宋体"/>
        <w:kern w:val="21"/>
        <w:sz w:val="28"/>
        <w:szCs w:val="28"/>
      </w:rPr>
      <w:fldChar w:fldCharType="separate"/>
    </w:r>
    <w:r>
      <w:rPr>
        <w:rFonts w:ascii="宋体" w:hAnsi="宋体" w:eastAsia="宋体"/>
        <w:kern w:val="21"/>
        <w:sz w:val="28"/>
        <w:szCs w:val="28"/>
      </w:rPr>
      <w:t>1</w:t>
    </w:r>
    <w:r>
      <w:rPr>
        <w:rFonts w:ascii="宋体" w:hAnsi="宋体" w:eastAsia="宋体"/>
        <w:kern w:val="21"/>
        <w:sz w:val="28"/>
        <w:szCs w:val="28"/>
      </w:rPr>
      <w:fldChar w:fldCharType="end"/>
    </w:r>
    <w:r>
      <w:rPr>
        <w:rFonts w:ascii="宋体" w:hAnsi="宋体" w:eastAsia="宋体"/>
        <w:kern w:val="21"/>
        <w:sz w:val="28"/>
        <w:szCs w:val="28"/>
      </w:rPr>
      <w:t xml:space="preserve"> </w:t>
    </w:r>
    <w:r>
      <w:rPr>
        <w:rFonts w:hint="eastAsia" w:ascii="宋体" w:hAnsi="宋体" w:eastAsia="宋体"/>
        <w:kern w:val="21"/>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tabs>
        <w:tab w:val="left" w:pos="1766"/>
        <w:tab w:val="center" w:pos="4153"/>
        <w:tab w:val="right" w:pos="8306"/>
        <w:tab w:val="right" w:pos="8524"/>
      </w:tabs>
      <w:kinsoku w:val="0"/>
      <w:wordWrap/>
      <w:overflowPunct w:val="0"/>
      <w:topLinePunct w:val="0"/>
      <w:autoSpaceDE w:val="0"/>
      <w:autoSpaceDN w:val="0"/>
      <w:bidi w:val="0"/>
      <w:adjustRightInd w:val="0"/>
      <w:snapToGrid w:val="0"/>
      <w:ind w:left="320" w:leftChars="100" w:right="320" w:rightChars="100"/>
      <w:jc w:val="center"/>
      <w:textAlignment w:val="auto"/>
    </w:pPr>
    <w:r>
      <w:rPr>
        <w:rFonts w:hint="eastAsia" w:ascii="宋体" w:hAnsi="宋体" w:eastAsia="宋体"/>
        <w:kern w:val="21"/>
        <w:sz w:val="28"/>
        <w:szCs w:val="28"/>
      </w:rPr>
      <w:t>—</w:t>
    </w:r>
    <w:r>
      <w:rPr>
        <w:rFonts w:ascii="宋体" w:hAnsi="宋体" w:eastAsia="宋体"/>
        <w:kern w:val="21"/>
        <w:sz w:val="28"/>
        <w:szCs w:val="28"/>
      </w:rPr>
      <w:t xml:space="preserve"> </w:t>
    </w:r>
    <w:r>
      <w:rPr>
        <w:rFonts w:ascii="宋体" w:hAnsi="宋体" w:eastAsia="宋体"/>
        <w:kern w:val="21"/>
        <w:sz w:val="28"/>
        <w:szCs w:val="28"/>
      </w:rPr>
      <w:fldChar w:fldCharType="begin"/>
    </w:r>
    <w:r>
      <w:rPr>
        <w:rFonts w:ascii="宋体" w:hAnsi="宋体" w:eastAsia="宋体"/>
        <w:kern w:val="21"/>
        <w:sz w:val="28"/>
        <w:szCs w:val="28"/>
      </w:rPr>
      <w:instrText xml:space="preserve"> PAGE </w:instrText>
    </w:r>
    <w:r>
      <w:rPr>
        <w:rFonts w:ascii="宋体" w:hAnsi="宋体" w:eastAsia="宋体"/>
        <w:kern w:val="21"/>
        <w:sz w:val="28"/>
        <w:szCs w:val="28"/>
      </w:rPr>
      <w:fldChar w:fldCharType="separate"/>
    </w:r>
    <w:r>
      <w:rPr>
        <w:rFonts w:ascii="宋体" w:hAnsi="宋体" w:eastAsia="宋体"/>
        <w:kern w:val="21"/>
        <w:sz w:val="28"/>
        <w:szCs w:val="28"/>
      </w:rPr>
      <w:t>1</w:t>
    </w:r>
    <w:r>
      <w:rPr>
        <w:rFonts w:ascii="宋体" w:hAnsi="宋体" w:eastAsia="宋体"/>
        <w:kern w:val="21"/>
        <w:sz w:val="28"/>
        <w:szCs w:val="28"/>
      </w:rPr>
      <w:fldChar w:fldCharType="end"/>
    </w:r>
    <w:r>
      <w:rPr>
        <w:rFonts w:ascii="宋体" w:hAnsi="宋体" w:eastAsia="宋体"/>
        <w:kern w:val="21"/>
        <w:sz w:val="28"/>
        <w:szCs w:val="28"/>
      </w:rPr>
      <w:t xml:space="preserve"> </w:t>
    </w:r>
    <w:r>
      <w:rPr>
        <w:rFonts w:hint="eastAsia" w:ascii="宋体" w:hAnsi="宋体" w:eastAsia="宋体"/>
        <w:kern w:val="21"/>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true"/>
  <w:bordersDoNotSurroundHeader w:val="false"/>
  <w:bordersDoNotSurroundFooter w:val="false"/>
  <w:documentProtection w:enforcement="0"/>
  <w:drawingGridHorizontalSpacing w:val="158"/>
  <w:drawingGridVerticalSpacing w:val="290"/>
  <w:displayHorizontalDrawingGridEvery w:val="2"/>
  <w:displayVerticalDrawingGridEvery w:val="2"/>
  <w:noPunctuationKerning w:val="true"/>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useAltKinsokuLineBreakRules/>
    <w:compatSetting w:name="compatibilityMode" w:uri="http://schemas.microsoft.com/office/word" w:val="14"/>
  </w:compat>
  <w:rsids>
    <w:rsidRoot w:val="00000000"/>
    <w:rsid w:val="06A62DA2"/>
    <w:rsid w:val="0A8D0A99"/>
    <w:rsid w:val="190116B8"/>
    <w:rsid w:val="24D75E5F"/>
    <w:rsid w:val="33FE86AA"/>
    <w:rsid w:val="3DC056A0"/>
    <w:rsid w:val="4D441D38"/>
    <w:rsid w:val="53A5721D"/>
    <w:rsid w:val="62771ECE"/>
    <w:rsid w:val="691D1AA6"/>
    <w:rsid w:val="7E9FD17B"/>
    <w:rsid w:val="CF5C274C"/>
    <w:rsid w:val="E5564C74"/>
    <w:rsid w:val="F7F2BE88"/>
    <w:rsid w:val="FFB537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Times New Roman" w:hAnsi="Times New Roman" w:eastAsia="仿宋_GB2312" w:cs="Times New Roman"/>
      <w:snapToGrid/>
      <w:color w:val="000000"/>
      <w:kern w:val="21"/>
      <w:sz w:val="32"/>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27</Pages>
  <Words>12869</Words>
  <Characters>13263</Characters>
  <TotalTime>11</TotalTime>
  <ScaleCrop>false</ScaleCrop>
  <LinksUpToDate>false</LinksUpToDate>
  <CharactersWithSpaces>13270</CharactersWithSpaces>
  <Application>WPS Office_11.8.2.10337_F1E327BC-269C-435d-A152-05C5408002CA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2025-05-22T11:04:00Z</dcterms:created>
  <dc:creator>审核人</dc:creator>
  <cp:lastModifiedBy>许平心</cp:lastModifiedBy>
  <dcterms:modified xsi:type="dcterms:W3CDTF">2026-06-22T18:08:26Z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2026-04-10T11:16:48Z</vt:filetime>
  </property>
  <property fmtid="{D5CDD505-2E9C-101B-9397-08002B2CF9AE}" pid="4" name="KSOTemplateDocerSaveRecord">
    <vt:lpwstr>eyJoZGlkIjoiZTI5YjQ1MGFjMTFiNDg1NTk2YmRlM2ViMGJiOWRjYTMiLCJ1c2VySWQiOiI5NTQwODY0MjgifQ==</vt:lpwstr>
  </property>
  <property fmtid="{D5CDD505-2E9C-101B-9397-08002B2CF9AE}" pid="5" name="KSOProductBuildVer">
    <vt:lpwstr>2052-11.8.2.10337</vt:lpwstr>
  </property>
  <property fmtid="{D5CDD505-2E9C-101B-9397-08002B2CF9AE}" pid="6" name="ICV">
    <vt:lpwstr>7037A643AA4E45E08962835801C0C669_13</vt:lpwstr>
  </property>
</Properties>
</file>