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新疆维吾尔自治区药品监督管理局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负责药品（含中药、民族药，下同）、医疗器械和化妆品安全监督管理。贯彻落实国家关于药品、医疗器械和化妆品监督管理的法律、法规、规章和政策，拟订地方性法规草案、政府规章草案，并组织实施。（二）监督实施药品、医疗器械、化妆品相关标准和分类管理制度。组织制定、发布中药材地方标准和中药饮片炮制规范，并监督实施。参与实施国家基本药物制度。（三）负责药品、医疗器械和化妆品注册管理。落实国家注册管理制度，严格上市审评审批，完善审评审批服务便利化措施。（四）负责药品、医疗器械和化妆品质量管理。监督实施生产质量管理规范。依职责监督、指导实施经营和使用质量管理规范。负责药品、医疗器械互联网销售第三方平台备案及监督管理。（五）负责药品、医疗器械和化妆品上市后风险管理。组织开展全区药品、化妆品不良反应和医疗器械不良事件监测及处置。组织开展药物滥用监测。依法承担药品、医疗器械和化妆品安全应急管理。（六）执行执业药师资格准入制度，组织实施执业药师注册工作。（七）负责组织指导药品、医疗器械和化妆品监督检查，依职责组织指导查处药品、医疗器械、化妆品生产、经营和使用环节的违法行为。（八）负责权责内药品、医疗器械和化妆品监督管理领域政策法规宣传、信息发布、对外交流与合作。推进信用体系建设。（九）指导地、县药品、医疗器械、化妆品监督管理工作。（十）完成自治区党委、自治区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从部门决算单位构成看，新疆维吾尔自治区药品监督管理局部门决算包括：新疆维吾尔自治区药品监督管理局（本级）决算及所属单位决算。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纳入新疆维吾尔自治区药品监督管理局2025年度部门决算编制范围的下属预算单位包括：</w:t>
      </w:r>
    </w:p>
    <w:p>
      <w:pPr>
        <w:widowControl/>
        <w:spacing w:before="0" w:beforeLines="0" w:beforeAutospacing="0" w:after="0" w:afterLines="0" w:afterAutospacing="0" w:line="240" w:lineRule="auto"/>
        <w:jc w:val="both"/>
        <w:rPr>
          <w:rFonts w:hint="eastAsia" w:ascii="仿宋_GB2312" w:eastAsia="仿宋_GB2312"/>
          <w:sz w:val="32"/>
          <w:szCs w:val="32"/>
          <w:highlight w:val="yellow"/>
          <w:lang w:eastAsia="zh-CN"/>
        </w:rPr>
      </w:pPr>
      <w:r>
        <w:rPr>
          <w:rFonts w:ascii="仿宋_GB2312" w:eastAsia="仿宋_GB2312"/>
          <w:b w:val="0"/>
          <w:sz w:val="32"/>
          <w:szCs w:val="32"/>
        </w:rPr>
        <w:t>新疆维吾尔自治区药品监督管理局（本级），新疆维吾尔自治区药品审评查验中心（新疆维吾尔自治区疫苗检查中心），新疆维吾尔自治区药品检验研究院，新疆维吾尔自治区药物警戒中</w:t>
      </w:r>
      <w:r>
        <w:rPr>
          <w:rFonts w:ascii="仿宋_GB2312" w:eastAsia="仿宋_GB2312"/>
          <w:b w:val="0"/>
          <w:sz w:val="32"/>
          <w:szCs w:val="32"/>
          <w:highlight w:val="none"/>
        </w:rPr>
        <w:t>心</w:t>
      </w:r>
      <w:r>
        <w:rPr>
          <w:rFonts w:hint="eastAsia" w:ascii="仿宋_GB2312" w:eastAsia="仿宋_GB2312"/>
          <w:b w:val="0"/>
          <w:sz w:val="32"/>
          <w:szCs w:val="32"/>
          <w:highlight w:val="none"/>
          <w:lang w:eastAsia="zh-CN"/>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2025年度收入总计11,637.84万元，其中：本年收入合计11,007.71万元，使用非财政拨款结余（含专用结余）140.05万元，年初结转和结余490.07万元。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2025年度支出总计11,637.84万元，其中：本年支出合计11,110.91万元，结余分配157.64万元，年末结转和结余369.29万元。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收入支出总体与上年相比，减少806.78万元，下降6.48%，主要原因是：</w:t>
      </w:r>
      <w:r>
        <w:rPr>
          <w:rFonts w:hint="eastAsia" w:ascii="仿宋_GB2312" w:eastAsia="仿宋_GB2312"/>
          <w:b w:val="0"/>
          <w:sz w:val="32"/>
          <w:szCs w:val="32"/>
        </w:rPr>
        <w:t>1.本年承接社会委托技术服务增加，相应经营支出增加，导致结余分配较上年减少；2.本年度拨付上年度收到课题收入中包含拨付课题合作单位课题经费，导致年末结转结余减少，导致本年支出减少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3.</w:t>
      </w:r>
      <w:r>
        <w:rPr>
          <w:rFonts w:ascii="仿宋_GB2312" w:eastAsia="仿宋_GB2312"/>
          <w:sz w:val="32"/>
          <w:szCs w:val="32"/>
          <w:lang w:eastAsia="zh-CN"/>
        </w:rPr>
        <w:t>中央食品药品监管补助</w:t>
      </w:r>
      <w:r>
        <w:rPr>
          <w:rFonts w:hint="eastAsia" w:ascii="仿宋_GB2312" w:eastAsia="仿宋_GB2312"/>
          <w:sz w:val="32"/>
          <w:szCs w:val="32"/>
          <w:lang w:eastAsia="zh-CN"/>
        </w:rPr>
        <w:t>结转</w:t>
      </w:r>
      <w:r>
        <w:rPr>
          <w:rFonts w:ascii="仿宋_GB2312" w:eastAsia="仿宋_GB2312"/>
          <w:sz w:val="32"/>
          <w:szCs w:val="32"/>
          <w:lang w:eastAsia="zh-CN"/>
        </w:rPr>
        <w:t>资金</w:t>
      </w:r>
      <w:r>
        <w:rPr>
          <w:rFonts w:hint="eastAsia" w:ascii="仿宋_GB2312" w:eastAsia="仿宋_GB2312"/>
          <w:sz w:val="32"/>
          <w:szCs w:val="32"/>
          <w:lang w:eastAsia="zh-CN"/>
        </w:rPr>
        <w:t>比</w:t>
      </w:r>
      <w:r>
        <w:rPr>
          <w:rFonts w:ascii="仿宋_GB2312" w:eastAsia="仿宋_GB2312"/>
          <w:sz w:val="32"/>
          <w:szCs w:val="32"/>
          <w:lang w:eastAsia="zh-CN"/>
        </w:rPr>
        <w:t>上年减少</w:t>
      </w:r>
      <w:r>
        <w:rPr>
          <w:rFonts w:hint="eastAsia" w:ascii="仿宋_GB2312" w:eastAsia="仿宋_GB2312"/>
          <w:sz w:val="32"/>
          <w:szCs w:val="32"/>
          <w:lang w:eastAsia="zh-CN"/>
        </w:rPr>
        <w:t>。</w:t>
      </w:r>
      <w:r>
        <w:rPr>
          <w:rFonts w:hint="eastAsia" w:ascii="仿宋_GB2312" w:eastAsia="仿宋_GB2312"/>
          <w:b w:val="0"/>
          <w:sz w:val="32"/>
          <w:szCs w:val="32"/>
        </w:rPr>
        <w:t>综合上述原因，收入支出总体较上年减少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11,007.71万元，其中：财政拨款收入10,330.34万元,占93.85%；上级补助收入0.00万元,占0.00%；事业收入127.50万元，占1.16%；经营收入526.56万元,占4.78%；附属单位上缴收入0.00万元，占0.00%；其他收入23.32万元，占0.21%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本年支出11,110.91万元，其中：基本支出6,704.82万元，占60.34%；项目支出4,035.38万元，占36.32%；上缴上级支出0.00万元，占0.00%；经营支出370.72万元，占3.34%；对附属单位补助支出0.00万元，占0.00%。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10,339.27万元，其中：年初财政拨款结转和结余8.93万元，本年财政拨款收入10,330.34万元。财政拨款支出总计10,339.27万元，其中：年末财政拨款结转和结余9.02万元，本年财政拨款支出10,330.25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53.43万元，下降0.51%，主要原因是：2024年6月我局所属5家事业单位经机构改革后合并成3家，因此财政拨款收入支出总体比上年减少。与年初预算相比，年初预算数9,055.02万元，决算数10,339.27万元，预决算差异率14.18%，主要原因是：一是年度考核绩效奖、职业年金、死亡抚恤金等基本支出均不在年初预算；二是中央食品药品监管补助项目（第二批）未在年初预算时一并安排，因此预决算数有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类、运转类、特定目标类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一般公共服务支出（类）市场监督管理事务（款）药品事务（项）的支出占本年财政拨款支出总额的比重最高，2025年度决算数为3,053.48万元，占比29.56%，主要用于我局所属事业单位药品检验研究</w:t>
      </w:r>
      <w:r>
        <w:rPr>
          <w:rFonts w:ascii="仿宋_GB2312" w:eastAsia="仿宋_GB2312"/>
          <w:b w:val="0"/>
          <w:sz w:val="32"/>
          <w:szCs w:val="32"/>
          <w:highlight w:val="none"/>
        </w:rPr>
        <w:t>院</w:t>
      </w:r>
      <w:r>
        <w:rPr>
          <w:rFonts w:hint="eastAsia" w:ascii="仿宋_GB2312" w:eastAsia="仿宋_GB2312"/>
          <w:b w:val="0"/>
          <w:sz w:val="32"/>
          <w:szCs w:val="32"/>
          <w:highlight w:val="none"/>
          <w:lang w:eastAsia="zh-CN"/>
        </w:rPr>
        <w:t>，该院</w:t>
      </w:r>
      <w:r>
        <w:rPr>
          <w:rFonts w:ascii="仿宋_GB2312" w:eastAsia="仿宋_GB2312"/>
          <w:b w:val="0"/>
          <w:sz w:val="32"/>
          <w:szCs w:val="32"/>
          <w:highlight w:val="none"/>
        </w:rPr>
        <w:t>工</w:t>
      </w:r>
      <w:r>
        <w:rPr>
          <w:rFonts w:ascii="仿宋_GB2312" w:eastAsia="仿宋_GB2312"/>
          <w:b w:val="0"/>
          <w:sz w:val="32"/>
          <w:szCs w:val="32"/>
        </w:rPr>
        <w:t>作任务是承担药品（含药用辅料、包装材料与容器）、医疗器械、化妆品的检验检测、质量分析、复验和质量标准修订及技术复核等工作；开展检验检测新技术新方法新标准和仿制药质量相关技术研究；组织开展地方药品标准规定使用的对照品和对照药材的研究、制备和标定，以及药品相关单位的培训、技术指导等工作；药品事务主要用于保障上述工作。</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10,330.25万元，占本年支出合计的92.97%。与上年相比，减少21.65万元，下降0.21%，主要原因是：2024年6月我局所属5家事业单位经机构改革后合并成3家，因此一般公共预算财政拨款支出有所减少。与年初预算相比，年初预算数9,055.02万元，决算数10,330.25万元，预决算差异率14.08%，主要原因是：一是年度考核绩效奖、职业年金、死亡抚恤金等基本支出均不在年初预算；二是中央食品药品监管补助项目（第二批）未在年初预算时一并安排，因此预决算数有差异。</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1.一般公共服务支出（类）8,141.72万元，占78.81%。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2.社会保障和就业支出（类）1,278.16万元，占12.37%。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3.卫生健康支出（类）512.33万元，占4.96%。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4.住房保障支出（类）398.04万元，占3.85%。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市场监督管理事务（款）行政运行（项）：支出决算数为1,621.21万元，比上年决算减少157.01万元，下降8.83%，主要原因是：本年将事业人员工资从该科目调至到【2013850】事业运行科目中支出，因此本科目支出比上年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2、一般公共服务支出（类）市场监督管理事务（款）信息化建设（项）：支出决算数为560.98万元，比上年决算减少264.11万元，下降32.01%，主要原因是：</w:t>
      </w:r>
      <w:r>
        <w:rPr>
          <w:rFonts w:hint="eastAsia" w:ascii="仿宋_GB2312" w:eastAsia="仿宋_GB2312"/>
          <w:b w:val="0"/>
          <w:sz w:val="32"/>
          <w:szCs w:val="32"/>
          <w:highlight w:val="none"/>
          <w:lang w:eastAsia="zh-CN"/>
        </w:rPr>
        <w:t>本年度信息化建设项目较上年有所减少</w:t>
      </w:r>
      <w:r>
        <w:rPr>
          <w:rFonts w:ascii="仿宋_GB2312" w:eastAsia="仿宋_GB2312"/>
          <w:b w:val="0"/>
          <w:sz w:val="32"/>
          <w:szCs w:val="32"/>
        </w:rPr>
        <w:t>，因此一般公共服务支出（类）市场监督管理事务（款）信息化建设（项）较上年减少。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3、一般公共服务支出（类）市场监督管理事务（款）药品事务（项）：支出决算数为3,053.48万元，比上年决算减少435.60万元，下降12.48%，主要原因是：</w:t>
      </w:r>
      <w:r>
        <w:rPr>
          <w:rFonts w:ascii="仿宋_GB2312" w:eastAsia="仿宋_GB2312"/>
          <w:sz w:val="32"/>
          <w:szCs w:val="32"/>
          <w:lang w:eastAsia="zh-CN"/>
        </w:rPr>
        <w:t>一是本年减少罚没物品处置费用；二是“两品一械”相关委托服务项目低价中标服务费减少；</w:t>
      </w:r>
      <w:r>
        <w:rPr>
          <w:rFonts w:hint="eastAsia" w:ascii="仿宋_GB2312" w:eastAsia="仿宋_GB2312"/>
          <w:sz w:val="32"/>
          <w:szCs w:val="32"/>
          <w:lang w:eastAsia="zh-CN"/>
        </w:rPr>
        <w:t>三是</w:t>
      </w:r>
      <w:r>
        <w:rPr>
          <w:rFonts w:hint="eastAsia" w:ascii="仿宋_GB2312" w:eastAsia="仿宋_GB2312"/>
          <w:b w:val="0"/>
          <w:sz w:val="32"/>
          <w:szCs w:val="32"/>
          <w:u w:val="none"/>
          <w:lang w:eastAsia="zh-CN"/>
        </w:rPr>
        <w:t>我单位严格落实过紧日子要求，压减一般性支出，</w:t>
      </w:r>
      <w:r>
        <w:rPr>
          <w:rFonts w:ascii="仿宋_GB2312" w:eastAsia="仿宋_GB2312"/>
          <w:b w:val="0"/>
          <w:sz w:val="32"/>
          <w:szCs w:val="32"/>
        </w:rPr>
        <w:t>导致一般公共服务支出（类）市场监督管理事务（款）药品事务（项）减少。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一般公共服务支出（类）市场监督管理事务（款）事业运行（项）：支出决算数为2,887.05万元，比上年决算增加408.48万元，增长16.48%，主要原因是：一是2025年度预算执行过程中，招录及调入增加5人；二是2024年底增人，所增人员2025年全年经费资金额度较上年度相比大幅增加；三是年终一次性奖金数目同比调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一般公共服务支出（类）市场监督管理事务（款）其他市场监督管理事务（项）：支出决算数为19.00万元，比上年决算减少96.00万元，下降83.48%，主要原因是：本年度申请新疆人才发展基金2025年度第二轮支持资金-智力援疆创新拓展人才计划课题经费减少，导致一般公共服务支出（类）市场监督管理事务（款）其他市场监督管理事务（项）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社会保障和就业支出（类）行政事业单位养老支出（款）行政单位离退休（项）：支出决算数为205.32万元，比上年决算增加25.87万元，增长14.42%，主要原因是：退休人员绩效考核奖发放标准增加，因此本科目支出比上年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社会保障和就业支出（类）行政事业单位养老支出（款）事业单位离退休（项）：支出决算数为184.95万元，比上年决算增加19.05万元，增长11.48%，主要原因是：本年度退休人员较上年增加，导致社会保障和就业支出（类）行政事业单位养老支出（款）事业单位离退休（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社会保障和就业支出（类）行政事业单位养老支出（款）机关事业单位基本养老保险缴费支出（项）：支出决算数为521.85万元，比上年决算增加45.33万元，增长9.51%，主要原因是：一是2024年底新增人员仅缴纳了年末少数月份养老保险，2025年按全年标准缴费，</w:t>
      </w:r>
      <w:r>
        <w:rPr>
          <w:rFonts w:hint="eastAsia" w:ascii="仿宋_GB2312" w:eastAsia="仿宋_GB2312"/>
          <w:b w:val="0"/>
          <w:sz w:val="32"/>
          <w:szCs w:val="32"/>
          <w:lang w:val="en-US" w:eastAsia="zh-CN"/>
        </w:rPr>
        <w:t>因此</w:t>
      </w:r>
      <w:r>
        <w:rPr>
          <w:rFonts w:ascii="仿宋_GB2312" w:eastAsia="仿宋_GB2312"/>
          <w:b w:val="0"/>
          <w:sz w:val="32"/>
          <w:szCs w:val="32"/>
        </w:rPr>
        <w:t>缴费</w:t>
      </w:r>
      <w:r>
        <w:rPr>
          <w:rFonts w:hint="eastAsia" w:ascii="仿宋_GB2312" w:eastAsia="仿宋_GB2312"/>
          <w:b w:val="0"/>
          <w:sz w:val="32"/>
          <w:szCs w:val="32"/>
          <w:lang w:val="en-US" w:eastAsia="zh-CN"/>
        </w:rPr>
        <w:t>数额</w:t>
      </w:r>
      <w:r>
        <w:rPr>
          <w:rFonts w:ascii="仿宋_GB2312" w:eastAsia="仿宋_GB2312"/>
          <w:b w:val="0"/>
          <w:sz w:val="32"/>
          <w:szCs w:val="32"/>
        </w:rPr>
        <w:t>高于2024年度</w:t>
      </w:r>
      <w:r>
        <w:rPr>
          <w:rFonts w:hint="eastAsia" w:ascii="仿宋_GB2312" w:eastAsia="仿宋_GB2312"/>
          <w:b w:val="0"/>
          <w:sz w:val="32"/>
          <w:szCs w:val="32"/>
          <w:lang w:eastAsia="zh-CN"/>
        </w:rPr>
        <w:t>；</w:t>
      </w:r>
      <w:r>
        <w:rPr>
          <w:rFonts w:ascii="仿宋_GB2312" w:eastAsia="仿宋_GB2312"/>
          <w:b w:val="0"/>
          <w:sz w:val="32"/>
          <w:szCs w:val="32"/>
        </w:rPr>
        <w:t>二是人员职级调整、工资调整、社保基数调整，导致社会保障和就业支出（类）行政事业单位养老支出（款）机关事业单位基本养老保险缴费支出（项）增加。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社会保障和就业支出（类）行政事业单位养老支出（款）机关事业单位职业年金缴费支出（项）：支出决算数为366.04万元，比上年决算增加319.40万元，增长684.82%，主要原因是：以前年度调出、辞职、退休人员补缴职业年金申请职业年金预算，本年度按月缴纳职业年金单位部分缴费，导致社会保障和就业支出（类）行政事业单位养老支出（款）机关事业单位职业年金缴费支出（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卫生健康支出（类）行政事业单位医疗（款）行政单位医疗（项）：支出决算数为81.23万元，比上年决算减少1.67万元，下降2.01%，主要原因是：本年2月调高基本医疗缴费比例但同时将事业人员基本医疗从本科目调至【2101102】事业单位医疗科目中支出，因此本科目支出比上年略微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卫生健康支出（类）行政事业单位医疗（款）事业单位医疗（项）：支出决算数为204.12万元，比上年决算增加60.45万元，增长42.08%，主要原因是：一是2024年底新增人员仅缴纳了年末少数月份医疗保险缴费，2025年按全年标准缴费，</w:t>
      </w:r>
      <w:r>
        <w:rPr>
          <w:rFonts w:hint="eastAsia" w:ascii="仿宋_GB2312" w:eastAsia="仿宋_GB2312"/>
          <w:b w:val="0"/>
          <w:sz w:val="32"/>
          <w:szCs w:val="32"/>
          <w:lang w:val="en-US" w:eastAsia="zh-CN"/>
        </w:rPr>
        <w:t>因此</w:t>
      </w:r>
      <w:r>
        <w:rPr>
          <w:rFonts w:ascii="仿宋_GB2312" w:eastAsia="仿宋_GB2312"/>
          <w:b w:val="0"/>
          <w:sz w:val="32"/>
          <w:szCs w:val="32"/>
        </w:rPr>
        <w:t>缴费</w:t>
      </w:r>
      <w:r>
        <w:rPr>
          <w:rFonts w:hint="eastAsia" w:ascii="仿宋_GB2312" w:eastAsia="仿宋_GB2312"/>
          <w:b w:val="0"/>
          <w:sz w:val="32"/>
          <w:szCs w:val="32"/>
          <w:lang w:val="en-US" w:eastAsia="zh-CN"/>
        </w:rPr>
        <w:t>数额</w:t>
      </w:r>
      <w:r>
        <w:rPr>
          <w:rFonts w:ascii="仿宋_GB2312" w:eastAsia="仿宋_GB2312"/>
          <w:b w:val="0"/>
          <w:sz w:val="32"/>
          <w:szCs w:val="32"/>
        </w:rPr>
        <w:t>高于2024年度；二是人员职级调整、工资调整、社保基数调整，导致卫生健康支出（类）行政事业单位医疗（款）事业单位医疗（项）增加。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12、卫生健康支出（类）行政事业单位医疗（款）公务员医疗补助（项）：支出决算数为226.98万元，比上年决算增加18.08万元，增长8.65%，主要原因是：一是2024年底招录及调入多人，</w:t>
      </w:r>
      <w:r>
        <w:rPr>
          <w:rFonts w:ascii="仿宋_GB2312" w:eastAsia="仿宋_GB2312"/>
          <w:b w:val="0"/>
          <w:sz w:val="32"/>
          <w:szCs w:val="32"/>
          <w:highlight w:val="none"/>
        </w:rPr>
        <w:t>增加公务员医疗补助缴费数限于年底几个月</w:t>
      </w:r>
      <w:r>
        <w:rPr>
          <w:rFonts w:ascii="仿宋_GB2312" w:eastAsia="仿宋_GB2312"/>
          <w:b w:val="0"/>
          <w:sz w:val="32"/>
          <w:szCs w:val="32"/>
        </w:rPr>
        <w:t>，所以2025年全年缴纳公务员医疗补助缴费远高于2024年度缴费数额；二是人员职级调整、工资调整、社保基数调整，导致卫生健康支出（类）行政事业单位医疗（款）公务员医疗补助（项）增加。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13、住房保障支出（类）住房改革支出（款）住房公积金（项）：支出决算数为398.04万元，比上年决算增加36.09万元，增长9.97%，主要原因是：一是2024年底招录及调入多人，</w:t>
      </w:r>
      <w:r>
        <w:rPr>
          <w:rFonts w:ascii="仿宋_GB2312" w:eastAsia="仿宋_GB2312"/>
          <w:b w:val="0"/>
          <w:sz w:val="32"/>
          <w:szCs w:val="32"/>
          <w:highlight w:val="none"/>
        </w:rPr>
        <w:t>增加住房公积金缴费数限于年底几个月，所以2025年全年</w:t>
      </w:r>
      <w:r>
        <w:rPr>
          <w:rFonts w:hint="eastAsia" w:ascii="仿宋_GB2312" w:eastAsia="仿宋_GB2312"/>
          <w:b w:val="0"/>
          <w:sz w:val="32"/>
          <w:szCs w:val="32"/>
          <w:highlight w:val="none"/>
          <w:lang w:eastAsia="zh-CN"/>
        </w:rPr>
        <w:t>住房公积金缴费</w:t>
      </w:r>
      <w:r>
        <w:rPr>
          <w:rFonts w:ascii="仿宋_GB2312" w:eastAsia="仿宋_GB2312"/>
          <w:b w:val="0"/>
          <w:sz w:val="32"/>
          <w:szCs w:val="32"/>
        </w:rPr>
        <w:t>远高于2024年度缴费数额</w:t>
      </w:r>
      <w:r>
        <w:rPr>
          <w:rFonts w:hint="eastAsia" w:ascii="仿宋_GB2312" w:eastAsia="仿宋_GB2312"/>
          <w:b w:val="0"/>
          <w:sz w:val="32"/>
          <w:szCs w:val="32"/>
          <w:lang w:eastAsia="zh-CN"/>
        </w:rPr>
        <w:t>；二是</w:t>
      </w:r>
      <w:r>
        <w:rPr>
          <w:rFonts w:ascii="仿宋_GB2312" w:eastAsia="仿宋_GB2312"/>
          <w:b w:val="0"/>
          <w:sz w:val="32"/>
          <w:szCs w:val="32"/>
          <w:highlight w:val="none"/>
        </w:rPr>
        <w:t>人员职级调整、工资调整、社</w:t>
      </w:r>
      <w:r>
        <w:rPr>
          <w:rFonts w:ascii="仿宋_GB2312" w:eastAsia="仿宋_GB2312"/>
          <w:b w:val="0"/>
          <w:sz w:val="32"/>
          <w:szCs w:val="32"/>
        </w:rPr>
        <w:t>保基数调整，导致住房保障支出（类）住房改革支出（款）住房公积金（项）增加。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6,696.79万元，其中：人员经费6,115.55万元，包括：基本工资、津贴补贴、奖金、绩效工资、机关事业单位基本养老保险缴费、职业年金缴费、职工基本医疗保险缴费、公务员医疗补助缴费、其他社会保障缴费、住房公积金、其他工资福利支出、退休费、抚恤金、生活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581.24万元，包括：办公费、水费、电费、邮电费、取暖费、物业管理费、差旅费、维修（护）费、租赁费、培训费、公务接待费、委托业务费、工会经费、福利费、公务用车运行维护费、其他商品和服务支出和专用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81.74万元，比上年减少29.48万元，下降26.51%，主要原因是：一是加强公务用车日常调度与维护，有效降低车辆运行成本；二是规范公务接待管理，严格执行陪餐人数及用餐标准，同时其他省局来疆调研批数与人数比上年减少，因此“三公”经费支出比上年减少。其中：因公出国（境）费用支出0.00万元,占0.00%，与上年相比无变化，主要原因是：本单位未安排因公出国（境）支出；公务用车购置及运行维护费支出79.94万元，占97.80%，比上年减少25.18万元，下降23.95%，主要原因是：加强公务用车日常调度与维护，有效降低车辆运行成本，因此公务用车运行维护费支出比上年减少；公务接待费支出1.81万元，占2.21%，比上年减少4.30万元，下降70.38%，主要原因是：规范公务接待管理，严格执行陪餐人数及用餐标准，同时其他省局来疆调研批数与人数比上年减少，因此公务接待费支出比上年减少。</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w:t>
      </w:r>
      <w:r>
        <w:rPr>
          <w:rFonts w:ascii="仿宋_GB2312" w:eastAsia="仿宋_GB2312"/>
          <w:b w:val="0"/>
          <w:sz w:val="32"/>
          <w:szCs w:val="32"/>
          <w:highlight w:val="none"/>
        </w:rPr>
        <w:t>，</w:t>
      </w:r>
      <w:r>
        <w:rPr>
          <w:rFonts w:ascii="仿宋_GB2312" w:eastAsia="仿宋_GB2312"/>
          <w:sz w:val="32"/>
          <w:szCs w:val="32"/>
          <w:lang w:eastAsia="zh-CN"/>
        </w:rPr>
        <w:t>开支内容包括本单位未安排因公出国（境）</w:t>
      </w:r>
      <w:r>
        <w:rPr>
          <w:rFonts w:ascii="仿宋_GB2312" w:eastAsia="仿宋_GB2312"/>
          <w:b w:val="0"/>
          <w:sz w:val="32"/>
          <w:szCs w:val="32"/>
        </w:rPr>
        <w:t>。部门全年安排的因公出国（境）团组0个，因公出国（境）0人次。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79.94万元，其中：公务用车购置费17.98万元，公务用车运行维护费61.96万元。公务用车运行维护费开支内容包括“两品一械”监管车辆的燃油费、保险费、维修维护费及审验费、过桥过路费。公务用车购置数1辆，公务用车保有量35辆。国有资产占用情况中固定资产车辆35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公务接待费1.81万元，开支内容包括国家局及其他省局来疆调研的公务接待。部门全年安排的国内公务接待19批次，118人次。</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与全年预算相比，财政拨款“三公”经费支出全年预算数86.56万元，决算数81.74万元，预决算差异率-5.57%，主要原因是：1.本年度承接“两品一械”需赴地州开展抽样任务减少，公务用车使用率减少，导致公务用车运行维护费较上年减少；2.来我局援疆指导、调研人数较上年减少，</w:t>
      </w:r>
      <w:r>
        <w:rPr>
          <w:rFonts w:hint="eastAsia" w:ascii="仿宋_GB2312" w:eastAsia="仿宋_GB2312"/>
          <w:b w:val="0"/>
          <w:sz w:val="32"/>
          <w:szCs w:val="32"/>
          <w:lang w:eastAsia="zh-CN"/>
        </w:rPr>
        <w:t>因此</w:t>
      </w:r>
      <w:r>
        <w:rPr>
          <w:rFonts w:ascii="仿宋_GB2312" w:eastAsia="仿宋_GB2312"/>
          <w:b w:val="0"/>
          <w:sz w:val="32"/>
          <w:szCs w:val="32"/>
        </w:rPr>
        <w:t>公务接待费减少</w:t>
      </w:r>
      <w:r>
        <w:rPr>
          <w:rFonts w:hint="eastAsia" w:ascii="仿宋_GB2312" w:eastAsia="仿宋_GB2312"/>
          <w:b w:val="0"/>
          <w:sz w:val="32"/>
          <w:szCs w:val="32"/>
          <w:highlight w:val="none"/>
          <w:lang w:eastAsia="zh-CN"/>
        </w:rPr>
        <w:t>，同时</w:t>
      </w:r>
      <w:r>
        <w:rPr>
          <w:rFonts w:ascii="仿宋_GB2312" w:eastAsia="仿宋_GB2312"/>
          <w:b w:val="0"/>
          <w:sz w:val="32"/>
          <w:szCs w:val="32"/>
          <w:highlight w:val="none"/>
        </w:rPr>
        <w:t>“</w:t>
      </w:r>
      <w:r>
        <w:rPr>
          <w:rFonts w:ascii="仿宋_GB2312" w:eastAsia="仿宋_GB2312"/>
          <w:b w:val="0"/>
          <w:sz w:val="32"/>
          <w:szCs w:val="32"/>
        </w:rPr>
        <w:t>三公”经费支出减少。其中：因公出国（境）费用全年预算数0.00万元，决算数0.00万元，预决算差异率0.00%，主要原因是：我单位未安排因公出国（境）费预算，导致预决算差异为零；公务用车购置费全年预算数17.98万元，决算数17.98万元，预决算差异率0.00%，主要原因是：单位严格按照预算支出，因此公务用车购置费支出全年预算数与决算数无差异；公务用车运行维护费全年预算数64.81万元，决算数61.96万元，预决算差异率-4.40%，主要原因是：本年度承接“两品一械”需赴地州开展抽样任务减少，公务用车使用率减少，导致公务用车运行维护费减少；公务接待费全年预算数3.77万元，决算数1.81万元，预决算差异率-51.99%，主要原因是：来我局援疆指导、调研人数较上年减少，导致公务接待费减少</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药品监督管理局（行政单位和参照公务员法管理事业单位）机关运行经费支出348.45万元，比上年增加19.58万元，增长5.95%，主要原因是：本年新增残疾人保障金缴费，因此机关运行经费支出比上年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2025年度新疆维吾尔自治区药品监督管理局（事业单位）公用经费支出232.79万元，比上年增加38.77万元，增长19.98%，主要原因是：公用经费人均定额标准较上年增加，</w:t>
      </w:r>
      <w:r>
        <w:rPr>
          <w:rFonts w:hint="eastAsia" w:ascii="仿宋_GB2312" w:eastAsia="仿宋_GB2312"/>
          <w:b w:val="0"/>
          <w:sz w:val="32"/>
          <w:szCs w:val="32"/>
          <w:lang w:eastAsia="zh-CN"/>
        </w:rPr>
        <w:t>因此</w:t>
      </w:r>
      <w:r>
        <w:rPr>
          <w:rFonts w:ascii="仿宋_GB2312" w:eastAsia="仿宋_GB2312"/>
          <w:b w:val="0"/>
          <w:sz w:val="32"/>
          <w:szCs w:val="32"/>
        </w:rPr>
        <w:t>工会经费、福利费额度增加，</w:t>
      </w:r>
      <w:r>
        <w:rPr>
          <w:rFonts w:ascii="仿宋_GB2312" w:eastAsia="仿宋_GB2312"/>
          <w:b w:val="0"/>
          <w:sz w:val="32"/>
          <w:szCs w:val="32"/>
          <w:highlight w:val="none"/>
        </w:rPr>
        <w:t>导致公用经费增加。</w:t>
      </w:r>
      <w:bookmarkStart w:id="0" w:name="_GoBack"/>
      <w:bookmarkEnd w:id="0"/>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2025年度政府采购支出总额1,777.61万元，其中：政府采购货物支出1,052.13万元、政府采购工程支出0.00万元、政府采购服务支出725.48万元。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授予中小企业合同金额1,260.48万元，占政府采购支出总额的70.91%，其中：授予小微企业合同金额905.73万元，占政府采购支出总额的50.95%。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31,860.94平方米，价值9,177.34万元。车辆35辆，价值947.87万元，其中：副部（省）级及以上领导用车0辆、主要负责人用车0辆、机要通信用车0辆、应急保障用车0辆、执法执勤用车13辆、特种专业技术用车3辆、离退休干部服务用车0辆、其他用车19辆，其他用车主要是：访惠聚工作用车5辆，一般公务用车14辆;单价100万元（含）以上设备（不含车辆）23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2025年度预算绩效管理形成整体支出绩效自评表1个，全年预算总额12,108.22万元，实际执行总额11,637.84万元；预算绩效评价项目13个，全年预算数6,870.55万元，全年执行数6,251.39万元。预算绩效管理取得的成效：2025年，我局严格按照财政要求，落实预算绩效管理全过程，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5月、8月对预算执行动态进行实时监控，发现问题及时纠偏，确保绩效目标落地落实；三是扎实开展自评工作，年度终了，扎实开展预算绩效目标完成情况部门审核和自评工作。发现的问题及原因：一是绩效评价结果的运用还需进一步加强。在预算绩效管理工作中，存在“重投入轻管理、重支出轻绩效”的情况，绩效评价结果与预算安排、政策调整挂钩的机制尚未真正建立，绩效评价结果多停留在反映情况、查找问题、研提建议等层面，未能与下一年度预算安排、预算编制、预算执行等有效结合。二是绩效指标设置有待加强。在整体绩效指标设置上，数量指标的设置精确度还有待提高，结合我局“两品一械”监管工作特点，需进一步建立定量和定性相结合的共性绩效指标框架，构建绩效目标指标体系和绩效评价指标体系，提升绩效目标科学化、合理化水平</w:t>
      </w:r>
      <w:r>
        <w:rPr>
          <w:rFonts w:ascii="仿宋_GB2312" w:eastAsia="仿宋_GB2312"/>
          <w:b w:val="0"/>
          <w:sz w:val="32"/>
          <w:szCs w:val="32"/>
          <w:highlight w:val="none"/>
        </w:rPr>
        <w:t>。</w:t>
      </w:r>
      <w:r>
        <w:rPr>
          <w:rFonts w:ascii="仿宋_GB2312" w:eastAsia="仿宋_GB2312"/>
          <w:b w:val="0"/>
          <w:sz w:val="32"/>
          <w:szCs w:val="32"/>
        </w:rPr>
        <w:t>下一步改进措施：一是加强绩效目标申报管理。提高绩效目标申报质量，做到目标明确，量化指标安排合理。对全区药品、医疗器械和化妆品生产经营企业监管数等指标的设置要更精准，以便目标任务分解和有效落实。强化预算项目管理，突出抓好项目申报前期调研，增强项目实施的合理性、科学性，加快预算项目执行进度，着力提高预算执行率，切实发挥好资金使用效益。二是加强预算支出管理。 规范财务运行，严格遵循“先有预算、后有支出”的原则，在资金支付管理方面，严格按照规定程序向财政部门申请用款。建立健全并认真执行各项资金使用管理制度，建立内部控制机制，资金使用严格履行审批程序，确保资金支出合法、真实。严格落实会计核算、报销审批制度，加强对资金使用环节的监督。三是进一步加强对绩效管理工作的组织领导。 提高对预算绩效管理工作重要性的认识，总结经验查找问题，抓紧研究制定更加全面更有效的绩效评价管理办法。加大全局对全面实施预算绩效管理和绩效管理工作的学习力度，让“花钱必问效，无效必问责”的理念深入工作每个环节</w:t>
      </w:r>
      <w:r>
        <w:rPr>
          <w:rFonts w:ascii="仿宋_GB2312" w:eastAsia="仿宋_GB2312"/>
          <w:b w:val="0"/>
          <w:sz w:val="32"/>
          <w:szCs w:val="32"/>
          <w:highlight w:val="none"/>
        </w:rPr>
        <w:t>。</w:t>
      </w:r>
      <w:r>
        <w:rPr>
          <w:rFonts w:ascii="仿宋_GB2312" w:eastAsia="仿宋_GB2312"/>
          <w:b w:val="0"/>
          <w:sz w:val="32"/>
          <w:szCs w:val="32"/>
        </w:rPr>
        <w:t>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本部门决算报表所反映的资金数仅涵盖本级及所属事业单位，未包含下拨地州资金；而绩效自评表所反映的资金数包含下拨地州资金。因统计口径不同，两项数据存在差异，特予以说明。</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43014"/>
    <w:rsid w:val="04762137"/>
    <w:rsid w:val="27EE7863"/>
    <w:rsid w:val="2E6DB365"/>
    <w:rsid w:val="35B45E1A"/>
    <w:rsid w:val="3B7FE29A"/>
    <w:rsid w:val="3FF704FE"/>
    <w:rsid w:val="5EDC1E54"/>
    <w:rsid w:val="5F7E8BB7"/>
    <w:rsid w:val="5FA74B86"/>
    <w:rsid w:val="7BB79C50"/>
    <w:rsid w:val="96DDB457"/>
    <w:rsid w:val="AFFCFDEB"/>
    <w:rsid w:val="FEF16D74"/>
    <w:rsid w:val="FFAF39E8"/>
    <w:rsid w:val="FFEDA2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18</Pages>
  <Words>9055</Words>
  <Characters>9993</Characters>
  <TotalTime>1</TotalTime>
  <ScaleCrop>false</ScaleCrop>
  <LinksUpToDate>false</LinksUpToDate>
  <CharactersWithSpaces>10002</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2026-08-21T18:28:00Z</dcterms:created>
  <dc:creator>yjj19</dc:creator>
  <cp:lastModifiedBy>许平心</cp:lastModifiedBy>
  <dcterms:modified xsi:type="dcterms:W3CDTF">2026-08-25T10:03:22Z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B6F5469BA1A736AAA6E3866ADA5D8FAF_43</vt:lpwstr>
  </property>
  <property fmtid="{D5CDD505-2E9C-101B-9397-08002B2CF9AE}" pid="4" name="KSOTemplateDocerSaveRecord">
    <vt:lpwstr>eyJoZGlkIjoiNjI0ODcwYzBmM2I0MmI2ZWJkOWJjMjNjOTA4YzczYTUiLCJ1c2VySWQiOiIxMzUyMjgzNTc4In0=</vt:lpwstr>
  </property>
</Properties>
</file>