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8.3.14 (Apache licensed) using REFERENCE JAXB in Oracle Java 1.8.0_342 on Linux -->
    <w:p>
      <w:pPr>
        <w:widowControl w:val="true"/>
        <w:spacing w:before="0" w:beforeLines="0" w:beforeAutospacing="false" w:after="0" w:afterLines="0" w:afterAutospacing="false" w:line="240" w:lineRule="auto"/>
        <w:ind/>
        <w:jc w:val="left"/>
        <w:rPr>
          <w:rFonts w:ascii="宋体" w:eastAsia="宋体"/>
          <w:sz w:val="32"/>
          <w:szCs w:val="32"/>
        </w:rPr>
      </w:pPr>
    </w:p>
    <w:p>
      <w:pPr>
        <w:widowControl w:val="true"/>
        <w:spacing w:before="0" w:beforeLines="0" w:beforeAutospacing="false" w:after="0" w:afterLines="0" w:afterAutospacing="false" w:line="240" w:lineRule="auto"/>
        <w:ind/>
        <w:jc w:val="left"/>
        <w:rPr>
          <w:rFonts w:ascii="宋体" w:eastAsia="宋体"/>
          <w:sz w:val="44"/>
          <w:szCs w:val="44"/>
        </w:rPr>
      </w:pPr>
    </w:p>
    <w:p>
      <w:pPr>
        <w:widowControl w:val="true"/>
        <w:spacing w:before="0" w:beforeLines="0" w:beforeAutospacing="false" w:after="0" w:afterLines="0" w:afterAutospacing="false" w:line="240" w:lineRule="auto"/>
        <w:ind/>
        <w:jc w:val="left"/>
        <w:rPr>
          <w:rFonts w:ascii="宋体" w:eastAsia="宋体"/>
          <w:sz w:val="44"/>
          <w:szCs w:val="44"/>
        </w:rPr>
      </w:pPr>
    </w:p>
    <w:p>
      <w:pPr>
        <w:widowControl w:val="true"/>
        <w:spacing w:before="0" w:beforeLines="0" w:beforeAutospacing="false" w:after="0" w:afterLines="0" w:afterAutospacing="false" w:line="240" w:lineRule="auto"/>
        <w:ind/>
        <w:jc w:val="left"/>
        <w:rPr>
          <w:rFonts w:ascii="宋体" w:eastAsia="宋体"/>
          <w:sz w:val="44"/>
          <w:szCs w:val="44"/>
        </w:rPr>
      </w:pPr>
    </w:p>
    <w:p>
      <w:pPr>
        <w:widowControl w:val="true"/>
        <w:spacing w:before="0" w:beforeLines="0" w:beforeAutospacing="false" w:after="0" w:afterLines="0" w:afterAutospacing="false" w:line="240" w:lineRule="auto"/>
        <w:ind/>
        <w:jc w:val="center"/>
        <w:outlineLvl w:val="0"/>
        <w:rPr>
          <w:rFonts w:ascii="宋体" w:eastAsia="黑体"/>
          <w:sz w:val="44"/>
          <w:szCs w:val="44"/>
        </w:rPr>
      </w:pPr>
      <w:r>
        <w:rPr>
          <w:rFonts w:ascii="宋体" w:eastAsia="黑体"/>
          <w:b w:val="false"/>
          <w:sz w:val="44"/>
          <w:szCs w:val="44"/>
        </w:rPr>
        <w:t>新疆维吾尔自治区药物警戒中心</w:t>
      </w:r>
    </w:p>
    <w:p>
      <w:pPr>
        <w:widowControl w:val="true"/>
        <w:spacing w:before="0" w:beforeLines="0" w:beforeAutospacing="false" w:after="0" w:afterLines="0" w:afterAutospacing="false" w:line="240" w:lineRule="auto"/>
        <w:ind/>
        <w:jc w:val="center"/>
        <w:outlineLvl w:val="0"/>
        <w:rPr>
          <w:rFonts w:ascii="黑体" w:eastAsia="黑体"/>
          <w:sz w:val="44"/>
          <w:szCs w:val="44"/>
        </w:rPr>
      </w:pPr>
      <w:r>
        <w:rPr>
          <w:rFonts w:ascii="黑体" w:eastAsia="黑体"/>
          <w:b w:val="false"/>
          <w:sz w:val="44"/>
          <w:szCs w:val="44"/>
        </w:rPr>
        <w:t>2025年度部门决算公开说明</w:t>
      </w:r>
    </w:p>
    <w:p>
      <w:pPr>
        <w:widowControl w:val="true"/>
        <w:rPr/>
      </w:pPr>
      <w:r>
        <w:rPr>
          <w:rFonts/>
          <w:b w:val="false"/>
          <w:sz w:val="0"/>
          <w:szCs w:val="0"/>
        </w:rPr>
        <w:br w:type="page"/>
      </w:r>
    </w:p>
    <w:p>
      <w:pPr>
        <w:widowControl w:val="true"/>
        <w:spacing w:before="0" w:beforeLines="0" w:beforeAutospacing="false" w:after="0" w:afterLines="0" w:afterAutospacing="false" w:line="240" w:lineRule="auto"/>
        <w:ind/>
        <w:jc w:val="center"/>
        <w:rPr>
          <w:rFonts w:ascii="黑体" w:eastAsia="黑体"/>
          <w:sz w:val="32"/>
          <w:szCs w:val="32"/>
        </w:rPr>
      </w:pPr>
      <w:r>
        <w:rPr>
          <w:rFonts w:ascii="黑体" w:eastAsia="黑体"/>
          <w:b w:val="true"/>
          <w:sz w:val="32"/>
          <w:szCs w:val="32"/>
        </w:rPr>
        <w:t>目 录</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true"/>
          <w:sz w:val="32"/>
          <w:szCs w:val="32"/>
        </w:rPr>
        <w:t>第一部分 </w:t>
      </w:r>
      <w:r>
        <w:rPr>
          <w:rFonts w:ascii="仿宋_GB2312" w:eastAsia="仿宋_GB2312"/>
          <w:b w:val="true"/>
          <w:sz w:val="32"/>
          <w:szCs w:val="32"/>
        </w:rPr>
        <w:t>单位</w:t>
      </w:r>
      <w:r>
        <w:rPr>
          <w:rFonts w:ascii="仿宋_GB2312" w:eastAsia="仿宋_GB2312"/>
          <w:b w:val="true"/>
          <w:sz w:val="32"/>
          <w:szCs w:val="32"/>
        </w:rPr>
        <w:t>概况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一、主要职能</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二、机构设置</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true"/>
          <w:sz w:val="32"/>
          <w:szCs w:val="32"/>
        </w:rPr>
        <w:t>第二部分 部门决算情况说明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一、收入支出决算总体情况说明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二、收入决算情况说明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三、支出决算情况说明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四、财政拨款收入支出决算总体情况说明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五、一般公共预算财政拨款支出决算情况说明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（一）一般公共预算财政拨款支出决算总体情况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（二）一般公共预算财政拨款支出决算结构情况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（三）一般公共预算财政拨款支出决算具体情况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六、一般公共预算财政拨款基本支出决算情况说明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七、政府性基金预算财政拨款收入支出决算情况说明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八、国有资本经营预算财政拨款收入支出决算情况说明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九、财政拨款“三公”经费支出决算情况说明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十、其他重要事项的情况说明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（一）机关运行经费及公用经费支出情况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（二）政府采购情况</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（三）国有资产占用情况说明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十一、预算绩效的情况说明</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十二、其他需说明的事项</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true"/>
          <w:sz w:val="32"/>
          <w:szCs w:val="32"/>
        </w:rPr>
        <w:t>第三部分 专业名词解释</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true"/>
          <w:sz w:val="32"/>
          <w:szCs w:val="32"/>
        </w:rPr>
        <w:t>第四部分 部门决算报表（见附表）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一、《收入支出决算总表》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二、《收入决算表》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三、《支出决算表》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四、《财政拨款收入支出决算总表》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五、《一般公共预算财政拨款支出决算表》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六、《一般公共预算财政拨款基本支出决算表》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七、《政府性基金预算财政拨款收入支出决算表》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八、《国有资本经营预算财政拨款收入支出决算表》</w:t>
      </w:r>
    </w:p>
    <w:p>
      <w:pPr>
        <w:widowControl w:val="true"/>
        <w:spacing w:before="0" w:beforeLines="0" w:beforeAutospacing="false" w:after="0" w:afterLines="0" w:afterAutospacing="false" w:line="240" w:lineRule="auto"/>
        <w:ind/>
        <w:jc w:val="left"/>
        <w:rPr>
          <w:rFonts w:ascii="仿宋_GB2312" w:eastAsia="仿宋_GB2312"/>
          <w:sz w:val="32"/>
          <w:szCs w:val="32"/>
        </w:rPr>
      </w:pPr>
      <w:r>
        <w:rPr>
          <w:rFonts w:ascii="仿宋_GB2312" w:eastAsia="仿宋_GB2312"/>
          <w:b w:val="false"/>
          <w:sz w:val="32"/>
          <w:szCs w:val="32"/>
        </w:rPr>
        <w:t>九、《财政拨款“三公”经费支出决算表》</w:t>
      </w:r>
    </w:p>
    <w:p>
      <w:pPr>
        <w:widowControl w:val="true"/>
        <w:rPr/>
      </w:pPr>
      <w:r>
        <w:rPr>
          <w:rFonts/>
          <w:b w:val="false"/>
          <w:sz w:val="0"/>
          <w:szCs w:val="0"/>
        </w:rPr>
        <w:br w:type="page"/>
      </w:r>
    </w:p>
    <w:p>
      <w:pPr>
        <w:widowControl w:val="true"/>
        <w:spacing w:before="0" w:beforeLines="0" w:beforeAutospacing="false" w:after="0" w:afterLines="0" w:afterAutospacing="false" w:line="240" w:lineRule="auto"/>
        <w:ind/>
        <w:jc w:val="center"/>
        <w:outlineLvl w:val="0"/>
        <w:rPr>
          <w:rFonts w:ascii="黑体" w:eastAsia="黑体"/>
          <w:sz w:val="32"/>
          <w:szCs w:val="32"/>
        </w:rPr>
      </w:pPr>
      <w:r>
        <w:rPr>
          <w:rFonts w:ascii="黑体" w:eastAsia="黑体"/>
          <w:b w:val="false"/>
          <w:sz w:val="32"/>
          <w:szCs w:val="32"/>
        </w:rPr>
        <w:t>第一部分</w:t>
      </w:r>
      <w:r>
        <w:rPr>
          <w:rFonts w:ascii="黑体" w:eastAsia="黑体"/>
          <w:b w:val="false"/>
          <w:sz w:val="32"/>
          <w:szCs w:val="32"/>
        </w:rPr>
        <w:t>单位</w:t>
      </w:r>
      <w:r>
        <w:rPr>
          <w:rFonts w:ascii="黑体" w:eastAsia="黑体"/>
          <w:b w:val="false"/>
          <w:sz w:val="32"/>
          <w:szCs w:val="32"/>
        </w:rPr>
        <w:t>概况</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一、主要职能</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承担全区上市后药物警戒相关技术工作，以及医疗器械不良事件、化妆品不良反应和药物滥用等资料收集、核实、评价、分析等工作；承担全区药品监管数据采集、治理和分析等工作；承担全区药品、医疗器械、化妆品网络销售监测、分析、研究等工作。</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二、机构设置</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新疆维吾尔自治区药物警戒中心</w:t>
      </w:r>
      <w:r>
        <w:rPr>
          <w:rFonts w:ascii="仿宋_GB2312" w:eastAsia="仿宋_GB2312"/>
          <w:b w:val="false"/>
          <w:sz w:val="32"/>
          <w:szCs w:val="32"/>
        </w:rPr>
        <w:t>无下属预算单位。</w:t>
      </w:r>
    </w:p>
    <w:p>
      <w:pPr>
        <w:widowControl w:val="true"/>
        <w:rPr/>
      </w:pPr>
      <w:r>
        <w:rPr>
          <w:rFonts/>
          <w:b w:val="false"/>
          <w:sz w:val="0"/>
          <w:szCs w:val="0"/>
        </w:rPr>
        <w:br w:type="page"/>
      </w:r>
    </w:p>
    <w:p>
      <w:pPr>
        <w:widowControl w:val="true"/>
        <w:spacing w:before="0" w:beforeLines="0" w:beforeAutospacing="false" w:after="0" w:afterLines="0" w:afterAutospacing="false" w:line="240" w:lineRule="auto"/>
        <w:ind/>
        <w:jc w:val="center"/>
        <w:outlineLvl w:val="0"/>
        <w:rPr>
          <w:rFonts w:ascii="黑体" w:eastAsia="黑体"/>
          <w:sz w:val="32"/>
          <w:szCs w:val="32"/>
        </w:rPr>
      </w:pPr>
      <w:r>
        <w:rPr>
          <w:rFonts w:ascii="黑体" w:eastAsia="黑体"/>
          <w:b w:val="false"/>
          <w:sz w:val="32"/>
          <w:szCs w:val="32"/>
        </w:rPr>
        <w:t>第二部分 部门决算情况说明</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一、收入支出决算总体情况说明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2025年度收入总计</w:t>
      </w:r>
      <w:r>
        <w:rPr>
          <w:rFonts w:ascii="仿宋_GB2312" w:eastAsia="仿宋_GB2312"/>
          <w:b w:val="false"/>
          <w:sz w:val="32"/>
          <w:szCs w:val="32"/>
        </w:rPr>
        <w:t>1,095.86</w:t>
      </w:r>
      <w:r>
        <w:rPr>
          <w:rFonts w:ascii="仿宋_GB2312" w:eastAsia="仿宋_GB2312"/>
          <w:b w:val="false"/>
          <w:sz w:val="32"/>
          <w:szCs w:val="32"/>
        </w:rPr>
        <w:t>万元，其中：本年收入合计</w:t>
      </w:r>
      <w:r>
        <w:rPr>
          <w:rFonts w:ascii="仿宋_GB2312" w:eastAsia="仿宋_GB2312"/>
          <w:b w:val="false"/>
          <w:sz w:val="32"/>
          <w:szCs w:val="32"/>
        </w:rPr>
        <w:t>995.70</w:t>
      </w:r>
      <w:r>
        <w:rPr>
          <w:rFonts w:ascii="仿宋_GB2312" w:eastAsia="仿宋_GB2312"/>
          <w:b w:val="false"/>
          <w:sz w:val="32"/>
          <w:szCs w:val="32"/>
        </w:rPr>
        <w:t>万元，使用非财政拨款结余（含专用结余）</w:t>
      </w:r>
      <w:r>
        <w:rPr>
          <w:rFonts w:ascii="仿宋_GB2312" w:eastAsia="仿宋_GB2312"/>
          <w:b w:val="false"/>
          <w:sz w:val="32"/>
          <w:szCs w:val="32"/>
        </w:rPr>
        <w:t>90.62</w:t>
      </w:r>
      <w:r>
        <w:rPr>
          <w:rFonts w:ascii="仿宋_GB2312" w:eastAsia="仿宋_GB2312"/>
          <w:b w:val="false"/>
          <w:sz w:val="32"/>
          <w:szCs w:val="32"/>
        </w:rPr>
        <w:t>万元，年初结转和结余</w:t>
      </w:r>
      <w:r>
        <w:rPr>
          <w:rFonts w:ascii="仿宋_GB2312" w:eastAsia="仿宋_GB2312"/>
          <w:b w:val="false"/>
          <w:sz w:val="32"/>
          <w:szCs w:val="32"/>
        </w:rPr>
        <w:t>9.54</w:t>
      </w:r>
      <w:r>
        <w:rPr>
          <w:rFonts w:ascii="仿宋_GB2312" w:eastAsia="仿宋_GB2312"/>
          <w:b w:val="false"/>
          <w:sz w:val="32"/>
          <w:szCs w:val="32"/>
        </w:rPr>
        <w:t>万元。</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2025年度支出总计</w:t>
      </w:r>
      <w:r>
        <w:rPr>
          <w:rFonts w:ascii="仿宋_GB2312" w:eastAsia="仿宋_GB2312"/>
          <w:b w:val="false"/>
          <w:sz w:val="32"/>
          <w:szCs w:val="32"/>
        </w:rPr>
        <w:t>1,095.86</w:t>
      </w:r>
      <w:r>
        <w:rPr>
          <w:rFonts w:ascii="仿宋_GB2312" w:eastAsia="仿宋_GB2312"/>
          <w:b w:val="false"/>
          <w:sz w:val="32"/>
          <w:szCs w:val="32"/>
        </w:rPr>
        <w:t>万元，其中：本年支出合计</w:t>
      </w:r>
      <w:r>
        <w:rPr>
          <w:rFonts w:ascii="仿宋_GB2312" w:eastAsia="仿宋_GB2312"/>
          <w:b w:val="false"/>
          <w:sz w:val="32"/>
          <w:szCs w:val="32"/>
        </w:rPr>
        <w:t>1,086.15</w:t>
      </w:r>
      <w:r>
        <w:rPr>
          <w:rFonts w:ascii="仿宋_GB2312" w:eastAsia="仿宋_GB2312"/>
          <w:b w:val="false"/>
          <w:sz w:val="32"/>
          <w:szCs w:val="32"/>
        </w:rPr>
        <w:t>万元，结余分配</w:t>
      </w:r>
      <w:r>
        <w:rPr>
          <w:rFonts w:ascii="仿宋_GB2312" w:eastAsia="仿宋_GB2312"/>
          <w:b w:val="false"/>
          <w:sz w:val="32"/>
          <w:szCs w:val="32"/>
        </w:rPr>
        <w:t>0.00</w:t>
      </w:r>
      <w:r>
        <w:rPr>
          <w:rFonts w:ascii="仿宋_GB2312" w:eastAsia="仿宋_GB2312"/>
          <w:b w:val="false"/>
          <w:sz w:val="32"/>
          <w:szCs w:val="32"/>
        </w:rPr>
        <w:t>万元，年末结转和结余</w:t>
      </w:r>
      <w:r>
        <w:rPr>
          <w:rFonts w:ascii="仿宋_GB2312" w:eastAsia="仿宋_GB2312"/>
          <w:b w:val="false"/>
          <w:sz w:val="32"/>
          <w:szCs w:val="32"/>
        </w:rPr>
        <w:t>9.71</w:t>
      </w:r>
      <w:r>
        <w:rPr>
          <w:rFonts w:ascii="仿宋_GB2312" w:eastAsia="仿宋_GB2312"/>
          <w:b w:val="false"/>
          <w:sz w:val="32"/>
          <w:szCs w:val="32"/>
        </w:rPr>
        <w:t>万元。</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收入支出总体与上年相比，</w:t>
      </w:r>
      <w:r>
        <w:rPr>
          <w:rFonts w:ascii="仿宋_GB2312" w:eastAsia="仿宋_GB2312"/>
          <w:b w:val="false"/>
          <w:sz w:val="32"/>
          <w:szCs w:val="32"/>
        </w:rPr>
        <w:t>增加</w:t>
      </w:r>
      <w:r>
        <w:rPr>
          <w:rFonts w:ascii="仿宋_GB2312" w:eastAsia="仿宋_GB2312"/>
          <w:b w:val="false"/>
          <w:sz w:val="32"/>
          <w:szCs w:val="32"/>
        </w:rPr>
        <w:t>24.80</w:t>
      </w:r>
      <w:r>
        <w:rPr>
          <w:rFonts w:ascii="仿宋_GB2312" w:eastAsia="仿宋_GB2312"/>
          <w:b w:val="false"/>
          <w:sz w:val="32"/>
          <w:szCs w:val="32"/>
        </w:rPr>
        <w:t>万元，</w:t>
      </w:r>
      <w:r>
        <w:rPr>
          <w:rFonts w:ascii="仿宋_GB2312" w:eastAsia="仿宋_GB2312"/>
          <w:b w:val="false"/>
          <w:sz w:val="32"/>
          <w:szCs w:val="32"/>
        </w:rPr>
        <w:t>增长</w:t>
      </w:r>
      <w:r>
        <w:rPr>
          <w:rFonts w:ascii="仿宋_GB2312" w:eastAsia="仿宋_GB2312"/>
          <w:b w:val="false"/>
          <w:sz w:val="32"/>
          <w:szCs w:val="32"/>
        </w:rPr>
        <w:t>2.32</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二、收入决算情况说明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本年收入</w:t>
      </w:r>
      <w:r>
        <w:rPr>
          <w:rFonts w:ascii="仿宋_GB2312" w:eastAsia="仿宋_GB2312"/>
          <w:b w:val="false"/>
          <w:sz w:val="32"/>
          <w:szCs w:val="32"/>
        </w:rPr>
        <w:t>995.70</w:t>
      </w:r>
      <w:r>
        <w:rPr>
          <w:rFonts w:ascii="仿宋_GB2312" w:eastAsia="仿宋_GB2312"/>
          <w:b w:val="false"/>
          <w:sz w:val="32"/>
          <w:szCs w:val="32"/>
        </w:rPr>
        <w:t>万元，其中：财政拨款收入</w:t>
      </w:r>
      <w:r>
        <w:rPr>
          <w:rFonts w:ascii="仿宋_GB2312" w:eastAsia="仿宋_GB2312"/>
          <w:b w:val="false"/>
          <w:sz w:val="32"/>
          <w:szCs w:val="32"/>
        </w:rPr>
        <w:t>995.62</w:t>
      </w:r>
      <w:r>
        <w:rPr>
          <w:rFonts w:ascii="仿宋_GB2312" w:eastAsia="仿宋_GB2312"/>
          <w:b w:val="false"/>
          <w:sz w:val="32"/>
          <w:szCs w:val="32"/>
        </w:rPr>
        <w:t>万元,占</w:t>
      </w:r>
      <w:r>
        <w:rPr>
          <w:rFonts w:ascii="仿宋_GB2312" w:eastAsia="仿宋_GB2312"/>
          <w:b w:val="false"/>
          <w:sz w:val="32"/>
          <w:szCs w:val="32"/>
        </w:rPr>
        <w:t>99.99</w:t>
      </w:r>
      <w:r>
        <w:rPr>
          <w:rFonts w:ascii="仿宋_GB2312" w:eastAsia="仿宋_GB2312"/>
          <w:b w:val="false"/>
          <w:sz w:val="32"/>
          <w:szCs w:val="32"/>
        </w:rPr>
        <w:t>%；上级补助收入</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%；事业收入</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%；经营收入</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%；附属单位上缴收入</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%；其他收入</w:t>
      </w:r>
      <w:r>
        <w:rPr>
          <w:rFonts w:ascii="仿宋_GB2312" w:eastAsia="仿宋_GB2312"/>
          <w:b w:val="false"/>
          <w:sz w:val="32"/>
          <w:szCs w:val="32"/>
        </w:rPr>
        <w:t>0.07</w:t>
      </w:r>
      <w:r>
        <w:rPr>
          <w:rFonts w:ascii="仿宋_GB2312" w:eastAsia="仿宋_GB2312"/>
          <w:b w:val="false"/>
          <w:sz w:val="32"/>
          <w:szCs w:val="32"/>
        </w:rPr>
        <w:t>万元，占</w:t>
      </w:r>
      <w:r>
        <w:rPr>
          <w:rFonts w:ascii="仿宋_GB2312" w:eastAsia="仿宋_GB2312"/>
          <w:b w:val="false"/>
          <w:sz w:val="32"/>
          <w:szCs w:val="32"/>
        </w:rPr>
        <w:t>0.01</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三、支出决算情况说明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本年支出</w:t>
      </w:r>
      <w:r>
        <w:rPr>
          <w:rFonts w:ascii="仿宋_GB2312" w:eastAsia="仿宋_GB2312"/>
          <w:b w:val="false"/>
          <w:sz w:val="32"/>
          <w:szCs w:val="32"/>
        </w:rPr>
        <w:t>1,086.15</w:t>
      </w:r>
      <w:r>
        <w:rPr>
          <w:rFonts w:ascii="仿宋_GB2312" w:eastAsia="仿宋_GB2312"/>
          <w:b w:val="false"/>
          <w:sz w:val="32"/>
          <w:szCs w:val="32"/>
        </w:rPr>
        <w:t>万元，其中：基本支出</w:t>
      </w:r>
      <w:r>
        <w:rPr>
          <w:rFonts w:ascii="仿宋_GB2312" w:eastAsia="仿宋_GB2312"/>
          <w:b w:val="false"/>
          <w:sz w:val="32"/>
          <w:szCs w:val="32"/>
        </w:rPr>
        <w:t>420.36</w:t>
      </w:r>
      <w:r>
        <w:rPr>
          <w:rFonts w:ascii="仿宋_GB2312" w:eastAsia="仿宋_GB2312"/>
          <w:b w:val="false"/>
          <w:sz w:val="32"/>
          <w:szCs w:val="32"/>
        </w:rPr>
        <w:t>万元，占</w:t>
      </w:r>
      <w:r>
        <w:rPr>
          <w:rFonts w:ascii="仿宋_GB2312" w:eastAsia="仿宋_GB2312"/>
          <w:b w:val="false"/>
          <w:sz w:val="32"/>
          <w:szCs w:val="32"/>
        </w:rPr>
        <w:t>38.70</w:t>
      </w:r>
      <w:r>
        <w:rPr>
          <w:rFonts w:ascii="仿宋_GB2312" w:eastAsia="仿宋_GB2312"/>
          <w:b w:val="false"/>
          <w:sz w:val="32"/>
          <w:szCs w:val="32"/>
        </w:rPr>
        <w:t>%；项目支出</w:t>
      </w:r>
      <w:r>
        <w:rPr>
          <w:rFonts w:ascii="仿宋_GB2312" w:eastAsia="仿宋_GB2312"/>
          <w:b w:val="false"/>
          <w:sz w:val="32"/>
          <w:szCs w:val="32"/>
        </w:rPr>
        <w:t>665.79</w:t>
      </w:r>
      <w:r>
        <w:rPr>
          <w:rFonts w:ascii="仿宋_GB2312" w:eastAsia="仿宋_GB2312"/>
          <w:b w:val="false"/>
          <w:sz w:val="32"/>
          <w:szCs w:val="32"/>
        </w:rPr>
        <w:t>万元，占</w:t>
      </w:r>
      <w:r>
        <w:rPr>
          <w:rFonts w:ascii="仿宋_GB2312" w:eastAsia="仿宋_GB2312"/>
          <w:b w:val="false"/>
          <w:sz w:val="32"/>
          <w:szCs w:val="32"/>
        </w:rPr>
        <w:t>61.30</w:t>
      </w:r>
      <w:r>
        <w:rPr>
          <w:rFonts w:ascii="仿宋_GB2312" w:eastAsia="仿宋_GB2312"/>
          <w:b w:val="false"/>
          <w:sz w:val="32"/>
          <w:szCs w:val="32"/>
        </w:rPr>
        <w:t>%；上缴上级支出</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%；经营支出</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%；对附属单位补助支出</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四、财政拨款收入支出决算总体情况说明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2025年度财政拨款收入总计</w:t>
      </w:r>
      <w:r>
        <w:rPr>
          <w:rFonts w:ascii="仿宋_GB2312" w:eastAsia="仿宋_GB2312"/>
          <w:b w:val="false"/>
          <w:sz w:val="32"/>
          <w:szCs w:val="32"/>
        </w:rPr>
        <w:t>1,004.55</w:t>
      </w:r>
      <w:r>
        <w:rPr>
          <w:rFonts w:ascii="仿宋_GB2312" w:eastAsia="仿宋_GB2312"/>
          <w:b w:val="false"/>
          <w:sz w:val="32"/>
          <w:szCs w:val="32"/>
        </w:rPr>
        <w:t>万元，其中：年初财政拨款结转和结余</w:t>
      </w:r>
      <w:r>
        <w:rPr>
          <w:rFonts w:ascii="仿宋_GB2312" w:eastAsia="仿宋_GB2312"/>
          <w:b w:val="false"/>
          <w:sz w:val="32"/>
          <w:szCs w:val="32"/>
        </w:rPr>
        <w:t>8.93</w:t>
      </w:r>
      <w:r>
        <w:rPr>
          <w:rFonts w:ascii="仿宋_GB2312" w:eastAsia="仿宋_GB2312"/>
          <w:b w:val="false"/>
          <w:sz w:val="32"/>
          <w:szCs w:val="32"/>
        </w:rPr>
        <w:t>万元，本年财政拨款收入</w:t>
      </w:r>
      <w:r>
        <w:rPr>
          <w:rFonts w:ascii="仿宋_GB2312" w:eastAsia="仿宋_GB2312"/>
          <w:b w:val="false"/>
          <w:sz w:val="32"/>
          <w:szCs w:val="32"/>
        </w:rPr>
        <w:t>995.62</w:t>
      </w:r>
      <w:r>
        <w:rPr>
          <w:rFonts w:ascii="仿宋_GB2312" w:eastAsia="仿宋_GB2312"/>
          <w:b w:val="false"/>
          <w:sz w:val="32"/>
          <w:szCs w:val="32"/>
        </w:rPr>
        <w:t>万元。财政拨款支出总计</w:t>
      </w:r>
      <w:r>
        <w:rPr>
          <w:rFonts w:ascii="仿宋_GB2312" w:eastAsia="仿宋_GB2312"/>
          <w:b w:val="false"/>
          <w:sz w:val="32"/>
          <w:szCs w:val="32"/>
        </w:rPr>
        <w:t>1,004.55</w:t>
      </w:r>
      <w:r>
        <w:rPr>
          <w:rFonts w:ascii="仿宋_GB2312" w:eastAsia="仿宋_GB2312"/>
          <w:b w:val="false"/>
          <w:sz w:val="32"/>
          <w:szCs w:val="32"/>
        </w:rPr>
        <w:t>万元，其中：年末财政拨款结转和结余</w:t>
      </w:r>
      <w:r>
        <w:rPr>
          <w:rFonts w:ascii="仿宋_GB2312" w:eastAsia="仿宋_GB2312"/>
          <w:b w:val="false"/>
          <w:sz w:val="32"/>
          <w:szCs w:val="32"/>
        </w:rPr>
        <w:t>9.02</w:t>
      </w:r>
      <w:r>
        <w:rPr>
          <w:rFonts w:ascii="仿宋_GB2312" w:eastAsia="仿宋_GB2312"/>
          <w:b w:val="false"/>
          <w:sz w:val="32"/>
          <w:szCs w:val="32"/>
        </w:rPr>
        <w:t>万元，本年财政拨款支出</w:t>
      </w:r>
      <w:r>
        <w:rPr>
          <w:rFonts w:ascii="仿宋_GB2312" w:eastAsia="仿宋_GB2312"/>
          <w:b w:val="false"/>
          <w:sz w:val="32"/>
          <w:szCs w:val="32"/>
        </w:rPr>
        <w:t>995.53</w:t>
      </w:r>
      <w:r>
        <w:rPr>
          <w:rFonts w:ascii="仿宋_GB2312" w:eastAsia="仿宋_GB2312"/>
          <w:b w:val="false"/>
          <w:sz w:val="32"/>
          <w:szCs w:val="32"/>
        </w:rPr>
        <w:t>万元。</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财政拨款收入支出总体与上年相比，</w:t>
      </w:r>
      <w:r>
        <w:rPr>
          <w:rFonts w:ascii="仿宋_GB2312" w:eastAsia="仿宋_GB2312"/>
          <w:b w:val="false"/>
          <w:sz w:val="32"/>
          <w:szCs w:val="32"/>
        </w:rPr>
        <w:t>减少</w:t>
      </w:r>
      <w:r>
        <w:rPr>
          <w:rFonts w:ascii="仿宋_GB2312" w:eastAsia="仿宋_GB2312"/>
          <w:b w:val="false"/>
          <w:sz w:val="32"/>
          <w:szCs w:val="32"/>
        </w:rPr>
        <w:t>66.40</w:t>
      </w:r>
      <w:r>
        <w:rPr>
          <w:rFonts w:ascii="仿宋_GB2312" w:eastAsia="仿宋_GB2312"/>
          <w:b w:val="false"/>
          <w:sz w:val="32"/>
          <w:szCs w:val="32"/>
        </w:rPr>
        <w:t>万元，</w:t>
      </w:r>
      <w:r>
        <w:rPr>
          <w:rFonts w:ascii="仿宋_GB2312" w:eastAsia="仿宋_GB2312"/>
          <w:b w:val="false"/>
          <w:sz w:val="32"/>
          <w:szCs w:val="32"/>
        </w:rPr>
        <w:t>下降</w:t>
      </w:r>
      <w:r>
        <w:rPr>
          <w:rFonts w:ascii="仿宋_GB2312" w:eastAsia="仿宋_GB2312"/>
          <w:b w:val="false"/>
          <w:sz w:val="32"/>
          <w:szCs w:val="32"/>
        </w:rPr>
        <w:t>6.20</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。与年初预算相比，年初预算数</w:t>
      </w:r>
      <w:r>
        <w:rPr>
          <w:rFonts w:ascii="仿宋_GB2312" w:eastAsia="仿宋_GB2312"/>
          <w:b w:val="false"/>
          <w:sz w:val="32"/>
          <w:szCs w:val="32"/>
        </w:rPr>
        <w:t>973.74</w:t>
      </w:r>
      <w:r>
        <w:rPr>
          <w:rFonts w:ascii="仿宋_GB2312" w:eastAsia="仿宋_GB2312"/>
          <w:b w:val="false"/>
          <w:sz w:val="32"/>
          <w:szCs w:val="32"/>
        </w:rPr>
        <w:t>万元，决算数</w:t>
      </w:r>
      <w:r>
        <w:rPr>
          <w:rFonts w:ascii="仿宋_GB2312" w:eastAsia="仿宋_GB2312"/>
          <w:b w:val="false"/>
          <w:sz w:val="32"/>
          <w:szCs w:val="32"/>
        </w:rPr>
        <w:t>1,004.55</w:t>
      </w:r>
      <w:r>
        <w:rPr>
          <w:rFonts w:ascii="仿宋_GB2312" w:eastAsia="仿宋_GB2312"/>
          <w:b w:val="false"/>
          <w:sz w:val="32"/>
          <w:szCs w:val="32"/>
        </w:rPr>
        <w:t>万元，预决算差异率</w:t>
      </w:r>
      <w:r>
        <w:rPr>
          <w:rFonts w:ascii="仿宋_GB2312" w:eastAsia="仿宋_GB2312"/>
          <w:b w:val="false"/>
          <w:sz w:val="32"/>
          <w:szCs w:val="32"/>
        </w:rPr>
        <w:t>3.16</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调增基本工资、追加基本医疗保险</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五、一般公共预算财政拨款支出决算情况说明</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false"/>
          <w:sz w:val="32"/>
          <w:szCs w:val="32"/>
        </w:rPr>
        <w:t>按照党中央、国务院关于党政机关习惯过紧日子的有关要求，厉行节约办一切事业，严控一般性支出。同时坚持有保有压，优化支出结构，提高资金使用效率，合理保障</w:t>
      </w:r>
      <w:r>
        <w:rPr>
          <w:rFonts w:ascii="仿宋_GB2312" w:eastAsia="仿宋_GB2312"/>
          <w:b w:val="false"/>
          <w:sz w:val="32"/>
          <w:szCs w:val="32"/>
        </w:rPr>
        <w:t>基本公用</w:t>
      </w:r>
      <w:r>
        <w:rPr>
          <w:rFonts w:ascii="仿宋_GB2312" w:eastAsia="仿宋_GB2312"/>
          <w:b w:val="false"/>
          <w:sz w:val="32"/>
          <w:szCs w:val="32"/>
        </w:rPr>
        <w:t>、</w:t>
      </w:r>
      <w:r>
        <w:rPr>
          <w:rFonts w:ascii="仿宋_GB2312" w:eastAsia="仿宋_GB2312"/>
          <w:b w:val="false"/>
          <w:sz w:val="32"/>
          <w:szCs w:val="32"/>
        </w:rPr>
        <w:t>药品事务</w:t>
      </w:r>
      <w:r>
        <w:rPr>
          <w:rFonts w:ascii="仿宋_GB2312" w:eastAsia="仿宋_GB2312"/>
          <w:b w:val="false"/>
          <w:sz w:val="32"/>
          <w:szCs w:val="32"/>
        </w:rPr>
        <w:t>、</w:t>
      </w:r>
      <w:r>
        <w:rPr>
          <w:rFonts w:ascii="仿宋_GB2312" w:eastAsia="仿宋_GB2312"/>
          <w:b w:val="false"/>
          <w:sz w:val="32"/>
          <w:szCs w:val="32"/>
        </w:rPr>
        <w:t>信息化建设</w:t>
      </w:r>
      <w:r>
        <w:rPr>
          <w:rFonts w:ascii="仿宋_GB2312" w:eastAsia="仿宋_GB2312"/>
          <w:b w:val="false"/>
          <w:sz w:val="32"/>
          <w:szCs w:val="32"/>
        </w:rPr>
        <w:t>等重点支出，体现在有关支出科目中。 </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false"/>
          <w:sz w:val="32"/>
          <w:szCs w:val="32"/>
        </w:rPr>
        <w:t>按照支出功能分类，</w:t>
      </w:r>
      <w:r>
        <w:rPr>
          <w:rFonts w:ascii="仿宋_GB2312" w:eastAsia="仿宋_GB2312"/>
          <w:b w:val="false"/>
          <w:sz w:val="32"/>
          <w:szCs w:val="32"/>
        </w:rPr>
        <w:t>一般公共服务支出</w:t>
      </w:r>
      <w:r>
        <w:rPr>
          <w:rFonts w:ascii="仿宋_GB2312" w:eastAsia="仿宋_GB2312"/>
          <w:b w:val="false"/>
          <w:sz w:val="32"/>
          <w:szCs w:val="32"/>
        </w:rPr>
        <w:t>（类）</w:t>
      </w:r>
      <w:r>
        <w:rPr>
          <w:rFonts w:ascii="仿宋_GB2312" w:eastAsia="仿宋_GB2312"/>
          <w:b w:val="false"/>
          <w:sz w:val="32"/>
          <w:szCs w:val="32"/>
        </w:rPr>
        <w:t>市场监督管理事务</w:t>
      </w:r>
      <w:r>
        <w:rPr>
          <w:rFonts w:ascii="仿宋_GB2312" w:eastAsia="仿宋_GB2312"/>
          <w:b w:val="false"/>
          <w:sz w:val="32"/>
          <w:szCs w:val="32"/>
        </w:rPr>
        <w:t>（款）</w:t>
      </w:r>
      <w:r>
        <w:rPr>
          <w:rFonts w:ascii="仿宋_GB2312" w:eastAsia="仿宋_GB2312"/>
          <w:b w:val="false"/>
          <w:sz w:val="32"/>
          <w:szCs w:val="32"/>
        </w:rPr>
        <w:t>信息化建设</w:t>
      </w:r>
      <w:r>
        <w:rPr>
          <w:rFonts w:ascii="仿宋_GB2312" w:eastAsia="仿宋_GB2312"/>
          <w:b w:val="false"/>
          <w:sz w:val="32"/>
          <w:szCs w:val="32"/>
        </w:rPr>
        <w:t>（项）的支出占本年财政拨款支出总额的比重最高，2025年度决算数为</w:t>
      </w:r>
      <w:r>
        <w:rPr>
          <w:rFonts w:ascii="仿宋_GB2312" w:eastAsia="仿宋_GB2312"/>
          <w:b w:val="false"/>
          <w:sz w:val="32"/>
          <w:szCs w:val="32"/>
        </w:rPr>
        <w:t>560.98</w:t>
      </w:r>
      <w:r>
        <w:rPr>
          <w:rFonts w:ascii="仿宋_GB2312" w:eastAsia="仿宋_GB2312"/>
          <w:b w:val="false"/>
          <w:sz w:val="32"/>
          <w:szCs w:val="32"/>
        </w:rPr>
        <w:t>万元，占比</w:t>
      </w:r>
      <w:r>
        <w:rPr>
          <w:rFonts w:ascii="仿宋_GB2312" w:eastAsia="仿宋_GB2312"/>
          <w:b w:val="false"/>
          <w:sz w:val="32"/>
          <w:szCs w:val="32"/>
        </w:rPr>
        <w:t>56.35</w:t>
      </w:r>
      <w:r>
        <w:rPr>
          <w:rFonts w:ascii="仿宋_GB2312" w:eastAsia="仿宋_GB2312"/>
          <w:b w:val="false"/>
          <w:sz w:val="32"/>
          <w:szCs w:val="32"/>
        </w:rPr>
        <w:t>%，主要用于</w:t>
      </w:r>
      <w:r>
        <w:rPr>
          <w:rFonts w:ascii="仿宋_GB2312" w:eastAsia="仿宋_GB2312"/>
          <w:b w:val="false"/>
          <w:sz w:val="32"/>
          <w:szCs w:val="32"/>
        </w:rPr>
        <w:t>网络及软件购置更新、维修（护）费、委托业务费。</w:t>
      </w:r>
    </w:p>
    <w:p>
      <w:pPr>
        <w:widowControl w:val="true"/>
        <w:spacing w:before="0" w:beforeLines="0" w:beforeAutospacing="false" w:after="0" w:afterLines="0" w:afterAutospacing="false" w:line="240" w:lineRule="auto"/>
        <w:ind w:firstLine="200" w:firstLineChars="200"/>
        <w:jc w:val="both"/>
        <w:outlineLvl w:val="2"/>
        <w:rPr>
          <w:rFonts w:ascii="黑体" w:eastAsia="黑体"/>
          <w:sz w:val="32"/>
          <w:szCs w:val="32"/>
        </w:rPr>
      </w:pPr>
      <w:r>
        <w:rPr>
          <w:rFonts w:ascii="黑体" w:eastAsia="黑体"/>
          <w:b w:val="false"/>
          <w:sz w:val="32"/>
          <w:szCs w:val="32"/>
        </w:rPr>
        <w:t>（一）一般公共预算财政拨款支出决算总体情况</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2025年度一般公共预算财政拨款支出</w:t>
      </w:r>
      <w:r>
        <w:rPr>
          <w:rFonts w:ascii="仿宋_GB2312" w:eastAsia="仿宋_GB2312"/>
          <w:b w:val="false"/>
          <w:sz w:val="32"/>
          <w:szCs w:val="32"/>
        </w:rPr>
        <w:t>995.53</w:t>
      </w:r>
      <w:r>
        <w:rPr>
          <w:rFonts w:ascii="仿宋_GB2312" w:eastAsia="仿宋_GB2312"/>
          <w:b w:val="false"/>
          <w:sz w:val="32"/>
          <w:szCs w:val="32"/>
        </w:rPr>
        <w:t>万元，占本年支出合计的</w:t>
      </w:r>
      <w:r>
        <w:rPr>
          <w:rFonts w:ascii="仿宋_GB2312" w:eastAsia="仿宋_GB2312"/>
          <w:b w:val="false"/>
          <w:sz w:val="32"/>
          <w:szCs w:val="32"/>
        </w:rPr>
        <w:t>91.66</w:t>
      </w:r>
      <w:r>
        <w:rPr>
          <w:rFonts w:ascii="仿宋_GB2312" w:eastAsia="仿宋_GB2312"/>
          <w:b w:val="false"/>
          <w:sz w:val="32"/>
          <w:szCs w:val="32"/>
        </w:rPr>
        <w:t>%。与上年相比，</w:t>
      </w:r>
      <w:r>
        <w:rPr>
          <w:rFonts w:ascii="仿宋_GB2312" w:eastAsia="仿宋_GB2312"/>
          <w:b w:val="false"/>
          <w:sz w:val="32"/>
          <w:szCs w:val="32"/>
        </w:rPr>
        <w:t>减少</w:t>
      </w:r>
      <w:r>
        <w:rPr>
          <w:rFonts w:ascii="仿宋_GB2312" w:eastAsia="仿宋_GB2312"/>
          <w:b w:val="false"/>
          <w:sz w:val="32"/>
          <w:szCs w:val="32"/>
        </w:rPr>
        <w:t>74.44</w:t>
      </w:r>
      <w:r>
        <w:rPr>
          <w:rFonts w:ascii="仿宋_GB2312" w:eastAsia="仿宋_GB2312"/>
          <w:b w:val="false"/>
          <w:sz w:val="32"/>
          <w:szCs w:val="32"/>
        </w:rPr>
        <w:t>万元，</w:t>
      </w:r>
      <w:r>
        <w:rPr>
          <w:rFonts w:ascii="仿宋_GB2312" w:eastAsia="仿宋_GB2312"/>
          <w:b w:val="false"/>
          <w:sz w:val="32"/>
          <w:szCs w:val="32"/>
        </w:rPr>
        <w:t>下降</w:t>
      </w:r>
      <w:r>
        <w:rPr>
          <w:rFonts w:ascii="仿宋_GB2312" w:eastAsia="仿宋_GB2312"/>
          <w:b w:val="false"/>
          <w:sz w:val="32"/>
          <w:szCs w:val="32"/>
        </w:rPr>
        <w:t>6.96</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。与年初预算相比，年初预算数</w:t>
      </w:r>
      <w:r>
        <w:rPr>
          <w:rFonts w:ascii="仿宋_GB2312" w:eastAsia="仿宋_GB2312"/>
          <w:b w:val="false"/>
          <w:sz w:val="32"/>
          <w:szCs w:val="32"/>
        </w:rPr>
        <w:t>973.74</w:t>
      </w:r>
      <w:r>
        <w:rPr>
          <w:rFonts w:ascii="仿宋_GB2312" w:eastAsia="仿宋_GB2312"/>
          <w:b w:val="false"/>
          <w:sz w:val="32"/>
          <w:szCs w:val="32"/>
        </w:rPr>
        <w:t>万元，决算数</w:t>
      </w:r>
      <w:r>
        <w:rPr>
          <w:rFonts w:ascii="仿宋_GB2312" w:eastAsia="仿宋_GB2312"/>
          <w:b w:val="false"/>
          <w:sz w:val="32"/>
          <w:szCs w:val="32"/>
        </w:rPr>
        <w:t>995.53</w:t>
      </w:r>
      <w:r>
        <w:rPr>
          <w:rFonts w:ascii="仿宋_GB2312" w:eastAsia="仿宋_GB2312"/>
          <w:b w:val="false"/>
          <w:sz w:val="32"/>
          <w:szCs w:val="32"/>
        </w:rPr>
        <w:t>万元，预决算差异率</w:t>
      </w:r>
      <w:r>
        <w:rPr>
          <w:rFonts w:ascii="仿宋_GB2312" w:eastAsia="仿宋_GB2312"/>
          <w:b w:val="false"/>
          <w:sz w:val="32"/>
          <w:szCs w:val="32"/>
        </w:rPr>
        <w:t>2.24</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2024年有结转资金，该部分资金未纳入年初预算，致使决算数略高于预算数</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2"/>
        <w:rPr>
          <w:rFonts w:ascii="黑体" w:eastAsia="黑体"/>
          <w:sz w:val="32"/>
          <w:szCs w:val="32"/>
        </w:rPr>
      </w:pPr>
      <w:r>
        <w:rPr>
          <w:rFonts w:ascii="黑体" w:eastAsia="黑体"/>
          <w:b w:val="false"/>
          <w:sz w:val="32"/>
          <w:szCs w:val="32"/>
        </w:rPr>
        <w:t>（二）一般公共预算财政拨款支出决算结构情况</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1.一般公共服务支出（类）</w:t>
      </w:r>
      <w:r>
        <w:rPr>
          <w:rFonts w:ascii="仿宋_GB2312" w:eastAsia="仿宋_GB2312"/>
          <w:b w:val="false"/>
          <w:sz w:val="32"/>
          <w:szCs w:val="32"/>
        </w:rPr>
        <w:t>855.97</w:t>
      </w:r>
      <w:r>
        <w:rPr>
          <w:rFonts w:ascii="仿宋_GB2312" w:eastAsia="仿宋_GB2312"/>
          <w:b w:val="false"/>
          <w:sz w:val="32"/>
          <w:szCs w:val="32"/>
        </w:rPr>
        <w:t>万元，占</w:t>
      </w:r>
      <w:r>
        <w:rPr>
          <w:rFonts w:ascii="仿宋_GB2312" w:eastAsia="仿宋_GB2312"/>
          <w:b w:val="false"/>
          <w:sz w:val="32"/>
          <w:szCs w:val="32"/>
        </w:rPr>
        <w:t>85.98</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2.社会保障和就业支出（类）</w:t>
      </w:r>
      <w:r>
        <w:rPr>
          <w:rFonts w:ascii="仿宋_GB2312" w:eastAsia="仿宋_GB2312"/>
          <w:b w:val="false"/>
          <w:sz w:val="32"/>
          <w:szCs w:val="32"/>
        </w:rPr>
        <w:t>76.84</w:t>
      </w:r>
      <w:r>
        <w:rPr>
          <w:rFonts w:ascii="仿宋_GB2312" w:eastAsia="仿宋_GB2312"/>
          <w:b w:val="false"/>
          <w:sz w:val="32"/>
          <w:szCs w:val="32"/>
        </w:rPr>
        <w:t>万元，占</w:t>
      </w:r>
      <w:r>
        <w:rPr>
          <w:rFonts w:ascii="仿宋_GB2312" w:eastAsia="仿宋_GB2312"/>
          <w:b w:val="false"/>
          <w:sz w:val="32"/>
          <w:szCs w:val="32"/>
        </w:rPr>
        <w:t>7.72</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3.卫生健康支出（类）</w:t>
      </w:r>
      <w:r>
        <w:rPr>
          <w:rFonts w:ascii="仿宋_GB2312" w:eastAsia="仿宋_GB2312"/>
          <w:b w:val="false"/>
          <w:sz w:val="32"/>
          <w:szCs w:val="32"/>
        </w:rPr>
        <w:t>35.17</w:t>
      </w:r>
      <w:r>
        <w:rPr>
          <w:rFonts w:ascii="仿宋_GB2312" w:eastAsia="仿宋_GB2312"/>
          <w:b w:val="false"/>
          <w:sz w:val="32"/>
          <w:szCs w:val="32"/>
        </w:rPr>
        <w:t>万元，占</w:t>
      </w:r>
      <w:r>
        <w:rPr>
          <w:rFonts w:ascii="仿宋_GB2312" w:eastAsia="仿宋_GB2312"/>
          <w:b w:val="false"/>
          <w:sz w:val="32"/>
          <w:szCs w:val="32"/>
        </w:rPr>
        <w:t>3.53</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4.住房保障支出（类）</w:t>
      </w:r>
      <w:r>
        <w:rPr>
          <w:rFonts w:ascii="仿宋_GB2312" w:eastAsia="仿宋_GB2312"/>
          <w:b w:val="false"/>
          <w:sz w:val="32"/>
          <w:szCs w:val="32"/>
        </w:rPr>
        <w:t>27.55</w:t>
      </w:r>
      <w:r>
        <w:rPr>
          <w:rFonts w:ascii="仿宋_GB2312" w:eastAsia="仿宋_GB2312"/>
          <w:b w:val="false"/>
          <w:sz w:val="32"/>
          <w:szCs w:val="32"/>
        </w:rPr>
        <w:t>万元，占</w:t>
      </w:r>
      <w:r>
        <w:rPr>
          <w:rFonts w:ascii="仿宋_GB2312" w:eastAsia="仿宋_GB2312"/>
          <w:b w:val="false"/>
          <w:sz w:val="32"/>
          <w:szCs w:val="32"/>
        </w:rPr>
        <w:t>2.77</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2"/>
        <w:rPr>
          <w:rFonts w:ascii="黑体" w:eastAsia="黑体"/>
          <w:sz w:val="32"/>
          <w:szCs w:val="32"/>
        </w:rPr>
      </w:pPr>
      <w:r>
        <w:rPr>
          <w:rFonts w:ascii="黑体" w:eastAsia="黑体"/>
          <w:b w:val="false"/>
          <w:sz w:val="32"/>
          <w:szCs w:val="32"/>
        </w:rPr>
        <w:t>（三）一般公共预算财政拨款支出决算具体情况</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1、一般公共服务支出（类）市场监督管理事务（款）信息化建设（项）：支出决算数为560.98万元，比上年决算减少264.11万元，下降32.01%，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2、一般公共服务支出（类）市场监督管理事务（款）药品事务（项）：支出决算数为4.19万元，比上年决算增加4.19万元，增长100.00%，主要原因是：2025年为我单位成立第一年，上年数据不具备实际对比参考意义。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3、一般公共服务支出（类）市场监督管理事务（款）事业运行（项）：支出决算数为280.80万元，比上年决算增加100.46万元，增长55.71%，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4、一般公共服务支出（类）市场监督管理事务（款）其他市场监督管理事务（项）：支出决算数为10.00万元，比上年决算增加10.00万元，增长100.00%，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5、社会保障和就业支出（类）行政事业单位养老支出（款）事业单位离退休（项）：支出决算数为17.78万元，比上年决算增加13.28万元，增长295.11%，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6、社会保障和就业支出（类）行政事业单位养老支出（款）机关事业单位基本养老保险缴费支出（项）：支出决算数为35.32万元，比上年决算增加12.85万元，增长57.19%，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7、社会保障和就业支出（类）行政事业单位养老支出（款）机关事业单位职业年金缴费支出（项）：支出决算数为23.74万元，比上年决算增加23.74万元，增长100.00%，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8、卫生健康支出（类）行政事业单位医疗（款）事业单位医疗（项）：支出决算数为19.71万元，比上年决算增加8.94万元，增长83.01%，主要原因是：2025年为我单位成立第一年，上年数据不具备实际对比参考意义。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9、卫生健康支出（类）行政事业单位医疗（款）公务员医疗补助（项）：支出决算数为15.45万元，比上年决算增加5.87万元，增长61.27%，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rPr>
          <w:rFonts w:ascii="仿宋_GB2312" w:eastAsia="仿宋_GB2312"/>
          <w:sz w:val="32"/>
          <w:szCs w:val="32"/>
        </w:rPr>
      </w:pPr>
      <w:r>
        <w:rPr>
          <w:rFonts w:ascii="仿宋_GB2312" w:eastAsia="仿宋_GB2312"/>
          <w:b w:val="false"/>
          <w:sz w:val="32"/>
          <w:szCs w:val="32"/>
        </w:rPr>
        <w:t>10、住房保障支出（类）住房改革支出（款）住房公积金（项）：支出决算数为27.55万元，比上年决算增加10.32万元，增长59.90%，主要原因是：2025年为我单位成立第一年，上年数据不具备实际对比参考意义。</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六、一般公共预算财政拨款基本支出决算情况说明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2025年度一般公共预算财政拨款基本支出</w:t>
      </w:r>
      <w:r>
        <w:rPr>
          <w:rFonts w:ascii="仿宋_GB2312" w:eastAsia="仿宋_GB2312"/>
          <w:b w:val="false"/>
          <w:sz w:val="32"/>
          <w:szCs w:val="32"/>
        </w:rPr>
        <w:t>420.36</w:t>
      </w:r>
      <w:r>
        <w:rPr>
          <w:rFonts w:ascii="仿宋_GB2312" w:eastAsia="仿宋_GB2312"/>
          <w:b w:val="false"/>
          <w:sz w:val="32"/>
          <w:szCs w:val="32"/>
        </w:rPr>
        <w:t>万元，其中：人员经费</w:t>
      </w:r>
      <w:r>
        <w:rPr>
          <w:rFonts w:ascii="仿宋_GB2312" w:eastAsia="仿宋_GB2312"/>
          <w:b w:val="false"/>
          <w:sz w:val="32"/>
          <w:szCs w:val="32"/>
        </w:rPr>
        <w:t>400.65</w:t>
      </w:r>
      <w:r>
        <w:rPr>
          <w:rFonts w:ascii="仿宋_GB2312" w:eastAsia="仿宋_GB2312"/>
          <w:b w:val="false"/>
          <w:sz w:val="32"/>
          <w:szCs w:val="32"/>
        </w:rPr>
        <w:t>万元，包括：</w:t>
      </w:r>
      <w:r>
        <w:rPr>
          <w:rFonts w:ascii="仿宋_GB2312" w:eastAsia="仿宋_GB2312"/>
          <w:b w:val="false"/>
          <w:sz w:val="32"/>
          <w:szCs w:val="32"/>
        </w:rPr>
        <w:t>基本工资、津贴补贴、奖金、绩效工资、机关事业单位基本养老保险缴费、职业年金缴费、职工基本医疗保险缴费、公务员医疗补助缴费、其他社会保障缴费、住房公积金、其他工资福利支出、退休费、奖励金和其他对个人和家庭的补助</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公用经费</w:t>
      </w:r>
      <w:r>
        <w:rPr>
          <w:rFonts w:ascii="仿宋_GB2312" w:eastAsia="仿宋_GB2312"/>
          <w:b w:val="false"/>
          <w:sz w:val="32"/>
          <w:szCs w:val="32"/>
        </w:rPr>
        <w:t>19.71</w:t>
      </w:r>
      <w:r>
        <w:rPr>
          <w:rFonts w:ascii="仿宋_GB2312" w:eastAsia="仿宋_GB2312"/>
          <w:b w:val="false"/>
          <w:sz w:val="32"/>
          <w:szCs w:val="32"/>
        </w:rPr>
        <w:t>万元，包括：</w:t>
      </w:r>
      <w:r>
        <w:rPr>
          <w:rFonts w:ascii="仿宋_GB2312" w:eastAsia="仿宋_GB2312"/>
          <w:b w:val="false"/>
          <w:sz w:val="32"/>
          <w:szCs w:val="32"/>
        </w:rPr>
        <w:t>办公费、邮电费、差旅费、公务接待费、工会经费、福利费、公务用车运行维护费和其他商品和服务支出</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七、政府性基金预算财政拨款收入支出决算情况说明</w:t>
      </w:r>
      <w:r>
        <w:rPr>
          <w:rFonts w:ascii="黑体" w:eastAsia="黑体"/>
          <w:b w:val="false"/>
          <w:sz w:val="32"/>
          <w:szCs w:val="32"/>
        </w:rPr>
        <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本</w:t>
      </w:r>
      <w:r>
        <w:rPr>
          <w:rFonts w:ascii="仿宋_GB2312" w:eastAsia="仿宋_GB2312"/>
          <w:b w:val="false"/>
          <w:sz w:val="32"/>
          <w:szCs w:val="32"/>
        </w:rPr>
        <w:t>单位</w:t>
      </w:r>
      <w:r>
        <w:rPr>
          <w:rFonts w:ascii="仿宋_GB2312" w:eastAsia="仿宋_GB2312"/>
          <w:b w:val="false"/>
          <w:sz w:val="32"/>
          <w:szCs w:val="32"/>
        </w:rPr>
        <w:t>本年度无政府性基金预算财政拨款收入、支出及结转和结余，政府性基金预算财政拨款收入支出决算表为空表。</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八、国有资本经营预算财政拨款收入支出决算情况说明</w:t>
      </w:r>
      <w:r>
        <w:rPr>
          <w:rFonts w:ascii="黑体" w:eastAsia="黑体"/>
          <w:b w:val="false"/>
          <w:sz w:val="32"/>
          <w:szCs w:val="32"/>
        </w:rPr>
        <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本</w:t>
      </w:r>
      <w:r>
        <w:rPr>
          <w:rFonts w:ascii="仿宋_GB2312" w:eastAsia="仿宋_GB2312"/>
          <w:b w:val="false"/>
          <w:sz w:val="32"/>
          <w:szCs w:val="32"/>
        </w:rPr>
        <w:t>单位</w:t>
      </w:r>
      <w:r>
        <w:rPr>
          <w:rFonts w:ascii="仿宋_GB2312" w:eastAsia="仿宋_GB2312"/>
          <w:b w:val="false"/>
          <w:sz w:val="32"/>
          <w:szCs w:val="32"/>
        </w:rPr>
        <w:t>本年度无国有资本经营预算财政拨款收入、支出及结转和结余，国有资本经营预算财政拨款收入支出决算表为空表。</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九、财政拨款“三公”经费支出决算情况说明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2025年度财政拨款“三公”经费支出</w:t>
      </w:r>
      <w:r>
        <w:rPr>
          <w:rFonts w:ascii="仿宋_GB2312" w:eastAsia="仿宋_GB2312"/>
          <w:b w:val="false"/>
          <w:sz w:val="32"/>
          <w:szCs w:val="32"/>
        </w:rPr>
        <w:t>1.81</w:t>
      </w:r>
      <w:r>
        <w:rPr>
          <w:rFonts w:ascii="仿宋_GB2312" w:eastAsia="仿宋_GB2312"/>
          <w:b w:val="false"/>
          <w:sz w:val="32"/>
          <w:szCs w:val="32"/>
        </w:rPr>
        <w:t>万元，</w:t>
      </w:r>
      <w:r>
        <w:rPr>
          <w:rFonts w:ascii="仿宋_GB2312" w:eastAsia="仿宋_GB2312"/>
          <w:b w:val="false"/>
          <w:sz w:val="32"/>
          <w:szCs w:val="32"/>
        </w:rPr>
        <w:t>比上年增加</w:t>
      </w:r>
      <w:r>
        <w:rPr>
          <w:rFonts w:ascii="仿宋_GB2312" w:eastAsia="仿宋_GB2312"/>
          <w:b w:val="false"/>
          <w:sz w:val="32"/>
          <w:szCs w:val="32"/>
        </w:rPr>
        <w:t>0.12</w:t>
      </w:r>
      <w:r>
        <w:rPr>
          <w:rFonts w:ascii="仿宋_GB2312" w:eastAsia="仿宋_GB2312"/>
          <w:b w:val="false"/>
          <w:sz w:val="32"/>
          <w:szCs w:val="32"/>
        </w:rPr>
        <w:t>万元，</w:t>
      </w:r>
      <w:r>
        <w:rPr>
          <w:rFonts w:ascii="仿宋_GB2312" w:eastAsia="仿宋_GB2312"/>
          <w:b w:val="false"/>
          <w:sz w:val="32"/>
          <w:szCs w:val="32"/>
        </w:rPr>
        <w:t>增长</w:t>
      </w:r>
      <w:r>
        <w:rPr>
          <w:rFonts w:ascii="仿宋_GB2312" w:eastAsia="仿宋_GB2312"/>
          <w:b w:val="false"/>
          <w:sz w:val="32"/>
          <w:szCs w:val="32"/>
        </w:rPr>
        <w:t>7.10</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。其中：因公出国（境）费用支出</w:t>
      </w:r>
      <w:r>
        <w:rPr>
          <w:rFonts w:ascii="仿宋_GB2312" w:eastAsia="仿宋_GB2312"/>
          <w:b w:val="false"/>
          <w:sz w:val="32"/>
          <w:szCs w:val="32"/>
        </w:rPr>
        <w:t>0.00</w:t>
      </w:r>
      <w:r>
        <w:rPr>
          <w:rFonts w:ascii="仿宋_GB2312" w:eastAsia="仿宋_GB2312"/>
          <w:b w:val="false"/>
          <w:sz w:val="32"/>
          <w:szCs w:val="32"/>
        </w:rPr>
        <w:t>万元,占</w:t>
      </w:r>
      <w:r>
        <w:rPr>
          <w:rFonts w:ascii="仿宋_GB2312" w:eastAsia="仿宋_GB2312"/>
          <w:b w:val="false"/>
          <w:sz w:val="32"/>
          <w:szCs w:val="32"/>
        </w:rPr>
        <w:t>0.00</w:t>
      </w:r>
      <w:r>
        <w:rPr>
          <w:rFonts w:ascii="仿宋_GB2312" w:eastAsia="仿宋_GB2312"/>
          <w:b w:val="false"/>
          <w:sz w:val="32"/>
          <w:szCs w:val="32"/>
        </w:rPr>
        <w:t>%，</w:t>
      </w:r>
      <w:r>
        <w:rPr>
          <w:rFonts w:ascii="仿宋_GB2312" w:eastAsia="仿宋_GB2312"/>
          <w:b w:val="false"/>
          <w:sz w:val="32"/>
          <w:szCs w:val="32"/>
        </w:rPr>
        <w:t>与上年相比无变化，</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；公务用车购置及运行维护费支出</w:t>
      </w:r>
      <w:r>
        <w:rPr>
          <w:rFonts w:ascii="仿宋_GB2312" w:eastAsia="仿宋_GB2312"/>
          <w:b w:val="false"/>
          <w:sz w:val="32"/>
          <w:szCs w:val="32"/>
        </w:rPr>
        <w:t>1.74</w:t>
      </w:r>
      <w:r>
        <w:rPr>
          <w:rFonts w:ascii="仿宋_GB2312" w:eastAsia="仿宋_GB2312"/>
          <w:b w:val="false"/>
          <w:sz w:val="32"/>
          <w:szCs w:val="32"/>
        </w:rPr>
        <w:t>万元，占</w:t>
      </w:r>
      <w:r>
        <w:rPr>
          <w:rFonts w:ascii="仿宋_GB2312" w:eastAsia="仿宋_GB2312"/>
          <w:b w:val="false"/>
          <w:sz w:val="32"/>
          <w:szCs w:val="32"/>
        </w:rPr>
        <w:t>96.13</w:t>
      </w:r>
      <w:r>
        <w:rPr>
          <w:rFonts w:ascii="仿宋_GB2312" w:eastAsia="仿宋_GB2312"/>
          <w:b w:val="false"/>
          <w:sz w:val="32"/>
          <w:szCs w:val="32"/>
        </w:rPr>
        <w:t>%，</w:t>
      </w:r>
      <w:r>
        <w:rPr>
          <w:rFonts w:ascii="仿宋_GB2312" w:eastAsia="仿宋_GB2312"/>
          <w:b w:val="false"/>
          <w:sz w:val="32"/>
          <w:szCs w:val="32"/>
        </w:rPr>
        <w:t>比上年增加</w:t>
      </w:r>
      <w:r>
        <w:rPr>
          <w:rFonts w:ascii="仿宋_GB2312" w:eastAsia="仿宋_GB2312"/>
          <w:b w:val="false"/>
          <w:sz w:val="32"/>
          <w:szCs w:val="32"/>
        </w:rPr>
        <w:t>0.05</w:t>
      </w:r>
      <w:r>
        <w:rPr>
          <w:rFonts w:ascii="仿宋_GB2312" w:eastAsia="仿宋_GB2312"/>
          <w:b w:val="false"/>
          <w:sz w:val="32"/>
          <w:szCs w:val="32"/>
        </w:rPr>
        <w:t>万元，</w:t>
      </w:r>
      <w:r>
        <w:rPr>
          <w:rFonts w:ascii="仿宋_GB2312" w:eastAsia="仿宋_GB2312"/>
          <w:b w:val="false"/>
          <w:sz w:val="32"/>
          <w:szCs w:val="32"/>
        </w:rPr>
        <w:t>增长</w:t>
      </w:r>
      <w:r>
        <w:rPr>
          <w:rFonts w:ascii="仿宋_GB2312" w:eastAsia="仿宋_GB2312"/>
          <w:b w:val="false"/>
          <w:sz w:val="32"/>
          <w:szCs w:val="32"/>
        </w:rPr>
        <w:t>2.96</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；公务接待费支出</w:t>
      </w:r>
      <w:r>
        <w:rPr>
          <w:rFonts w:ascii="仿宋_GB2312" w:eastAsia="仿宋_GB2312"/>
          <w:b w:val="false"/>
          <w:sz w:val="32"/>
          <w:szCs w:val="32"/>
        </w:rPr>
        <w:t>0.07</w:t>
      </w:r>
      <w:r>
        <w:rPr>
          <w:rFonts w:ascii="仿宋_GB2312" w:eastAsia="仿宋_GB2312"/>
          <w:b w:val="false"/>
          <w:sz w:val="32"/>
          <w:szCs w:val="32"/>
        </w:rPr>
        <w:t>万元，占</w:t>
      </w:r>
      <w:r>
        <w:rPr>
          <w:rFonts w:ascii="仿宋_GB2312" w:eastAsia="仿宋_GB2312"/>
          <w:b w:val="false"/>
          <w:sz w:val="32"/>
          <w:szCs w:val="32"/>
        </w:rPr>
        <w:t>3.87</w:t>
      </w:r>
      <w:r>
        <w:rPr>
          <w:rFonts w:ascii="仿宋_GB2312" w:eastAsia="仿宋_GB2312"/>
          <w:b w:val="false"/>
          <w:sz w:val="32"/>
          <w:szCs w:val="32"/>
        </w:rPr>
        <w:t>%，</w:t>
      </w:r>
      <w:r>
        <w:rPr>
          <w:rFonts w:ascii="仿宋_GB2312" w:eastAsia="仿宋_GB2312"/>
          <w:b w:val="false"/>
          <w:sz w:val="32"/>
          <w:szCs w:val="32"/>
        </w:rPr>
        <w:t>比上年增加</w:t>
      </w:r>
      <w:r>
        <w:rPr>
          <w:rFonts w:ascii="仿宋_GB2312" w:eastAsia="仿宋_GB2312"/>
          <w:b w:val="false"/>
          <w:sz w:val="32"/>
          <w:szCs w:val="32"/>
        </w:rPr>
        <w:t>0.07</w:t>
      </w:r>
      <w:r>
        <w:rPr>
          <w:rFonts w:ascii="仿宋_GB2312" w:eastAsia="仿宋_GB2312"/>
          <w:b w:val="false"/>
          <w:sz w:val="32"/>
          <w:szCs w:val="32"/>
        </w:rPr>
        <w:t>万元，</w:t>
      </w:r>
      <w:r>
        <w:rPr>
          <w:rFonts w:ascii="仿宋_GB2312" w:eastAsia="仿宋_GB2312"/>
          <w:b w:val="false"/>
          <w:sz w:val="32"/>
          <w:szCs w:val="32"/>
        </w:rPr>
        <w:t>增长</w:t>
      </w:r>
      <w:r>
        <w:rPr>
          <w:rFonts w:ascii="仿宋_GB2312" w:eastAsia="仿宋_GB2312"/>
          <w:b w:val="false"/>
          <w:sz w:val="32"/>
          <w:szCs w:val="32"/>
        </w:rPr>
        <w:t>100%，</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false"/>
          <w:sz w:val="32"/>
          <w:szCs w:val="32"/>
        </w:rPr>
        <w:t>具体情况如下：</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因公出国（境）费用</w:t>
      </w:r>
      <w:r>
        <w:rPr>
          <w:rFonts w:ascii="仿宋_GB2312" w:eastAsia="仿宋_GB2312"/>
          <w:b w:val="false"/>
          <w:sz w:val="32"/>
          <w:szCs w:val="32"/>
        </w:rPr>
        <w:t>0.00</w:t>
      </w:r>
      <w:r>
        <w:rPr>
          <w:rFonts w:ascii="仿宋_GB2312" w:eastAsia="仿宋_GB2312"/>
          <w:b w:val="false"/>
          <w:sz w:val="32"/>
          <w:szCs w:val="32"/>
        </w:rPr>
        <w:t>万元，开支内容包括</w:t>
      </w:r>
      <w:r>
        <w:rPr>
          <w:rFonts w:ascii="仿宋_GB2312" w:eastAsia="仿宋_GB2312"/>
          <w:b w:val="false"/>
          <w:sz w:val="32"/>
          <w:szCs w:val="32"/>
        </w:rPr>
        <w:t>无开支</w:t>
      </w:r>
      <w:r>
        <w:rPr>
          <w:rFonts w:ascii="仿宋_GB2312" w:eastAsia="仿宋_GB2312"/>
          <w:b w:val="false"/>
          <w:sz w:val="32"/>
          <w:szCs w:val="32"/>
        </w:rPr>
        <w:t>。</w:t>
      </w:r>
      <w:r>
        <w:rPr>
          <w:rFonts w:ascii="仿宋_GB2312" w:eastAsia="仿宋_GB2312"/>
          <w:b w:val="false"/>
          <w:sz w:val="32"/>
          <w:szCs w:val="32"/>
        </w:rPr>
        <w:t>单位</w:t>
      </w:r>
      <w:r>
        <w:rPr>
          <w:rFonts w:ascii="仿宋_GB2312" w:eastAsia="仿宋_GB2312"/>
          <w:b w:val="false"/>
          <w:sz w:val="32"/>
          <w:szCs w:val="32"/>
        </w:rPr>
        <w:t>全年安排的因公出国（境）团组</w:t>
      </w:r>
      <w:r>
        <w:rPr>
          <w:rFonts w:ascii="仿宋_GB2312" w:eastAsia="仿宋_GB2312"/>
          <w:b w:val="false"/>
          <w:sz w:val="32"/>
          <w:szCs w:val="32"/>
        </w:rPr>
        <w:t>0</w:t>
      </w:r>
      <w:r>
        <w:rPr>
          <w:rFonts w:ascii="仿宋_GB2312" w:eastAsia="仿宋_GB2312"/>
          <w:b w:val="false"/>
          <w:sz w:val="32"/>
          <w:szCs w:val="32"/>
        </w:rPr>
        <w:t>个，因公出国（境）</w:t>
      </w:r>
      <w:r>
        <w:rPr>
          <w:rFonts w:ascii="仿宋_GB2312" w:eastAsia="仿宋_GB2312"/>
          <w:b w:val="false"/>
          <w:sz w:val="32"/>
          <w:szCs w:val="32"/>
        </w:rPr>
        <w:t>0</w:t>
      </w:r>
      <w:r>
        <w:rPr>
          <w:rFonts w:ascii="仿宋_GB2312" w:eastAsia="仿宋_GB2312"/>
          <w:b w:val="false"/>
          <w:sz w:val="32"/>
          <w:szCs w:val="32"/>
        </w:rPr>
        <w:t>人次。</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公务用车购置及运行维护费</w:t>
      </w:r>
      <w:r>
        <w:rPr>
          <w:rFonts w:ascii="仿宋_GB2312" w:eastAsia="仿宋_GB2312"/>
          <w:b w:val="false"/>
          <w:sz w:val="32"/>
          <w:szCs w:val="32"/>
        </w:rPr>
        <w:t>1.74</w:t>
      </w:r>
      <w:r>
        <w:rPr>
          <w:rFonts w:ascii="仿宋_GB2312" w:eastAsia="仿宋_GB2312"/>
          <w:b w:val="false"/>
          <w:sz w:val="32"/>
          <w:szCs w:val="32"/>
        </w:rPr>
        <w:t>万元，其中：公务用车购置费</w:t>
      </w:r>
      <w:r>
        <w:rPr>
          <w:rFonts w:ascii="仿宋_GB2312" w:eastAsia="仿宋_GB2312"/>
          <w:b w:val="false"/>
          <w:sz w:val="32"/>
          <w:szCs w:val="32"/>
        </w:rPr>
        <w:t>0.00</w:t>
      </w:r>
      <w:r>
        <w:rPr>
          <w:rFonts w:ascii="仿宋_GB2312" w:eastAsia="仿宋_GB2312"/>
          <w:b w:val="false"/>
          <w:sz w:val="32"/>
          <w:szCs w:val="32"/>
        </w:rPr>
        <w:t>万元，公务用车运行维护费</w:t>
      </w:r>
      <w:r>
        <w:rPr>
          <w:rFonts w:ascii="仿宋_GB2312" w:eastAsia="仿宋_GB2312"/>
          <w:b w:val="false"/>
          <w:sz w:val="32"/>
          <w:szCs w:val="32"/>
        </w:rPr>
        <w:t>1.74</w:t>
      </w:r>
      <w:r>
        <w:rPr>
          <w:rFonts w:ascii="仿宋_GB2312" w:eastAsia="仿宋_GB2312"/>
          <w:b w:val="false"/>
          <w:sz w:val="32"/>
          <w:szCs w:val="32"/>
        </w:rPr>
        <w:t>万元。公务用车运行维护费开支内容包括</w:t>
      </w:r>
      <w:r>
        <w:rPr>
          <w:rFonts w:ascii="仿宋_GB2312" w:eastAsia="仿宋_GB2312"/>
          <w:b w:val="false"/>
          <w:sz w:val="32"/>
          <w:szCs w:val="32"/>
        </w:rPr>
        <w:t>车辆年审费、车辆保险费、车辆维修费、停车费</w:t>
      </w:r>
      <w:r>
        <w:rPr>
          <w:rFonts w:ascii="仿宋_GB2312" w:eastAsia="仿宋_GB2312"/>
          <w:b w:val="false"/>
          <w:sz w:val="32"/>
          <w:szCs w:val="32"/>
        </w:rPr>
        <w:t>。公务用车购置数</w:t>
      </w:r>
      <w:r>
        <w:rPr>
          <w:rFonts w:ascii="仿宋_GB2312" w:eastAsia="仿宋_GB2312"/>
          <w:b w:val="false"/>
          <w:sz w:val="32"/>
          <w:szCs w:val="32"/>
        </w:rPr>
        <w:t>0</w:t>
      </w:r>
      <w:r>
        <w:rPr>
          <w:rFonts w:ascii="仿宋_GB2312" w:eastAsia="仿宋_GB2312"/>
          <w:b w:val="false"/>
          <w:sz w:val="32"/>
          <w:szCs w:val="32"/>
        </w:rPr>
        <w:t>辆，公务用车保有量</w:t>
      </w:r>
      <w:r>
        <w:rPr>
          <w:rFonts w:ascii="仿宋_GB2312" w:eastAsia="仿宋_GB2312"/>
          <w:b w:val="false"/>
          <w:sz w:val="32"/>
          <w:szCs w:val="32"/>
        </w:rPr>
        <w:t>1</w:t>
      </w:r>
      <w:r>
        <w:rPr>
          <w:rFonts w:ascii="仿宋_GB2312" w:eastAsia="仿宋_GB2312"/>
          <w:b w:val="false"/>
          <w:sz w:val="32"/>
          <w:szCs w:val="32"/>
        </w:rPr>
        <w:t>辆。国有资产占用情况中固定资产车辆</w:t>
      </w:r>
      <w:r>
        <w:rPr>
          <w:rFonts w:ascii="仿宋_GB2312" w:eastAsia="仿宋_GB2312"/>
          <w:b w:val="false"/>
          <w:sz w:val="32"/>
          <w:szCs w:val="32"/>
        </w:rPr>
        <w:t>1</w:t>
      </w:r>
      <w:r>
        <w:rPr>
          <w:rFonts w:ascii="仿宋_GB2312" w:eastAsia="仿宋_GB2312"/>
          <w:b w:val="false"/>
          <w:sz w:val="32"/>
          <w:szCs w:val="32"/>
        </w:rPr>
        <w:t>辆，与公务用车保有量差异原因是：</w:t>
      </w:r>
      <w:r>
        <w:rPr>
          <w:rFonts w:ascii="仿宋_GB2312" w:eastAsia="仿宋_GB2312"/>
          <w:b w:val="false"/>
          <w:sz w:val="32"/>
          <w:szCs w:val="32"/>
        </w:rPr>
        <w:t>我单位由其他单位合并，车辆为合并单位调入的</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公务接待费</w:t>
      </w:r>
      <w:r>
        <w:rPr>
          <w:rFonts w:ascii="仿宋_GB2312" w:eastAsia="仿宋_GB2312"/>
          <w:b w:val="false"/>
          <w:sz w:val="32"/>
          <w:szCs w:val="32"/>
        </w:rPr>
        <w:t>0.07</w:t>
      </w:r>
      <w:r>
        <w:rPr>
          <w:rFonts w:ascii="仿宋_GB2312" w:eastAsia="仿宋_GB2312"/>
          <w:b w:val="false"/>
          <w:sz w:val="32"/>
          <w:szCs w:val="32"/>
        </w:rPr>
        <w:t>万元，开支内容包括</w:t>
      </w:r>
      <w:r>
        <w:rPr>
          <w:rFonts w:ascii="仿宋_GB2312" w:eastAsia="仿宋_GB2312"/>
          <w:b w:val="false"/>
          <w:sz w:val="32"/>
          <w:szCs w:val="32"/>
        </w:rPr>
        <w:t>报销接待国家药监局评价中心赴新疆调研接待费</w:t>
      </w:r>
      <w:r>
        <w:rPr>
          <w:rFonts w:ascii="仿宋_GB2312" w:eastAsia="仿宋_GB2312"/>
          <w:b w:val="false"/>
          <w:sz w:val="32"/>
          <w:szCs w:val="32"/>
        </w:rPr>
        <w:t>。</w:t>
      </w:r>
      <w:r>
        <w:rPr>
          <w:rFonts w:ascii="仿宋_GB2312" w:eastAsia="仿宋_GB2312"/>
          <w:b w:val="false"/>
          <w:sz w:val="32"/>
          <w:szCs w:val="32"/>
        </w:rPr>
        <w:t>单位</w:t>
      </w:r>
      <w:r>
        <w:rPr>
          <w:rFonts w:ascii="仿宋_GB2312" w:eastAsia="仿宋_GB2312"/>
          <w:b w:val="false"/>
          <w:sz w:val="32"/>
          <w:szCs w:val="32"/>
        </w:rPr>
        <w:t>全年安排的国内公务接待</w:t>
      </w:r>
      <w:r>
        <w:rPr>
          <w:rFonts w:ascii="仿宋_GB2312" w:eastAsia="仿宋_GB2312"/>
          <w:b w:val="false"/>
          <w:sz w:val="32"/>
          <w:szCs w:val="32"/>
        </w:rPr>
        <w:t>1</w:t>
      </w:r>
      <w:r>
        <w:rPr>
          <w:rFonts w:ascii="仿宋_GB2312" w:eastAsia="仿宋_GB2312"/>
          <w:b w:val="false"/>
          <w:sz w:val="32"/>
          <w:szCs w:val="32"/>
        </w:rPr>
        <w:t>批次，</w:t>
      </w:r>
      <w:r>
        <w:rPr>
          <w:rFonts w:ascii="仿宋_GB2312" w:eastAsia="仿宋_GB2312"/>
          <w:b w:val="false"/>
          <w:sz w:val="32"/>
          <w:szCs w:val="32"/>
        </w:rPr>
        <w:t>3</w:t>
      </w:r>
      <w:r>
        <w:rPr>
          <w:rFonts w:ascii="仿宋_GB2312" w:eastAsia="仿宋_GB2312"/>
          <w:b w:val="false"/>
          <w:sz w:val="32"/>
          <w:szCs w:val="32"/>
        </w:rPr>
        <w:t>人次。</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与全年预算相比，财政拨款“三公”经费支出全年预算数</w:t>
      </w:r>
      <w:r>
        <w:rPr>
          <w:rFonts w:ascii="仿宋_GB2312" w:eastAsia="仿宋_GB2312"/>
          <w:b w:val="false"/>
          <w:sz w:val="32"/>
          <w:szCs w:val="32"/>
        </w:rPr>
        <w:t>1.81</w:t>
      </w:r>
      <w:r>
        <w:rPr>
          <w:rFonts w:ascii="仿宋_GB2312" w:eastAsia="仿宋_GB2312"/>
          <w:b w:val="false"/>
          <w:sz w:val="32"/>
          <w:szCs w:val="32"/>
        </w:rPr>
        <w:t>万元，决算数</w:t>
      </w:r>
      <w:r>
        <w:rPr>
          <w:rFonts w:ascii="仿宋_GB2312" w:eastAsia="仿宋_GB2312"/>
          <w:b w:val="false"/>
          <w:sz w:val="32"/>
          <w:szCs w:val="32"/>
        </w:rPr>
        <w:t>1.81</w:t>
      </w:r>
      <w:r>
        <w:rPr>
          <w:rFonts w:ascii="仿宋_GB2312" w:eastAsia="仿宋_GB2312"/>
          <w:b w:val="false"/>
          <w:sz w:val="32"/>
          <w:szCs w:val="32"/>
        </w:rPr>
        <w:t>万元，预决算差异率</w:t>
      </w:r>
      <w:r>
        <w:rPr>
          <w:rFonts w:ascii="仿宋_GB2312" w:eastAsia="仿宋_GB2312"/>
          <w:b w:val="false"/>
          <w:sz w:val="32"/>
          <w:szCs w:val="32"/>
        </w:rPr>
        <w:t>0.00</w:t>
      </w:r>
      <w:r>
        <w:rPr>
          <w:rFonts w:ascii="仿宋_GB2312" w:eastAsia="仿宋_GB2312"/>
          <w:b w:val="false"/>
          <w:sz w:val="32"/>
          <w:szCs w:val="32"/>
        </w:rPr>
        <w:t>%，主要原因是：</w:t>
      </w:r>
      <w:r>
        <w:rPr>
          <w:rFonts w:ascii="仿宋_GB2312" w:eastAsia="仿宋_GB2312"/>
          <w:b w:val="false"/>
          <w:sz w:val="32"/>
          <w:szCs w:val="32"/>
        </w:rPr>
        <w:t>无超支预算的情况</w:t>
      </w:r>
      <w:r>
        <w:rPr>
          <w:rFonts w:ascii="仿宋_GB2312" w:eastAsia="仿宋_GB2312"/>
          <w:b w:val="false"/>
          <w:sz w:val="32"/>
          <w:szCs w:val="32"/>
        </w:rPr>
        <w:t>。其中：因公出国（境）费用全年预算数</w:t>
      </w:r>
      <w:r>
        <w:rPr>
          <w:rFonts w:ascii="仿宋_GB2312" w:eastAsia="仿宋_GB2312"/>
          <w:b w:val="false"/>
          <w:sz w:val="32"/>
          <w:szCs w:val="32"/>
        </w:rPr>
        <w:t>0.00</w:t>
      </w:r>
      <w:r>
        <w:rPr>
          <w:rFonts w:ascii="仿宋_GB2312" w:eastAsia="仿宋_GB2312"/>
          <w:b w:val="false"/>
          <w:sz w:val="32"/>
          <w:szCs w:val="32"/>
        </w:rPr>
        <w:t>万元，决算数</w:t>
      </w:r>
      <w:r>
        <w:rPr>
          <w:rFonts w:ascii="仿宋_GB2312" w:eastAsia="仿宋_GB2312"/>
          <w:b w:val="false"/>
          <w:sz w:val="32"/>
          <w:szCs w:val="32"/>
        </w:rPr>
        <w:t>0.00</w:t>
      </w:r>
      <w:r>
        <w:rPr>
          <w:rFonts w:ascii="仿宋_GB2312" w:eastAsia="仿宋_GB2312"/>
          <w:b w:val="false"/>
          <w:sz w:val="32"/>
          <w:szCs w:val="32"/>
        </w:rPr>
        <w:t>万元，预决算差异率</w:t>
      </w:r>
      <w:r>
        <w:rPr>
          <w:rFonts w:ascii="仿宋_GB2312" w:eastAsia="仿宋_GB2312"/>
          <w:b w:val="false"/>
          <w:sz w:val="32"/>
          <w:szCs w:val="32"/>
        </w:rPr>
        <w:t>0.00</w:t>
      </w:r>
      <w:r>
        <w:rPr>
          <w:rFonts w:ascii="仿宋_GB2312" w:eastAsia="仿宋_GB2312"/>
          <w:b w:val="false"/>
          <w:sz w:val="32"/>
          <w:szCs w:val="32"/>
        </w:rPr>
        <w:t>%，主要原因是：</w:t>
      </w:r>
      <w:r>
        <w:rPr>
          <w:rFonts w:ascii="仿宋_GB2312" w:eastAsia="仿宋_GB2312"/>
          <w:b w:val="false"/>
          <w:sz w:val="32"/>
          <w:szCs w:val="32"/>
        </w:rPr>
        <w:t>无需求</w:t>
      </w:r>
      <w:r>
        <w:rPr>
          <w:rFonts w:ascii="仿宋_GB2312" w:eastAsia="仿宋_GB2312"/>
          <w:b w:val="false"/>
          <w:sz w:val="32"/>
          <w:szCs w:val="32"/>
        </w:rPr>
        <w:t>；公务用车购置费全年预算数</w:t>
      </w:r>
      <w:r>
        <w:rPr>
          <w:rFonts w:ascii="仿宋_GB2312" w:eastAsia="仿宋_GB2312"/>
          <w:b w:val="false"/>
          <w:sz w:val="32"/>
          <w:szCs w:val="32"/>
        </w:rPr>
        <w:t>0.00</w:t>
      </w:r>
      <w:r>
        <w:rPr>
          <w:rFonts w:ascii="仿宋_GB2312" w:eastAsia="仿宋_GB2312"/>
          <w:b w:val="false"/>
          <w:sz w:val="32"/>
          <w:szCs w:val="32"/>
        </w:rPr>
        <w:t>万元，决算数</w:t>
      </w:r>
      <w:r>
        <w:rPr>
          <w:rFonts w:ascii="仿宋_GB2312" w:eastAsia="仿宋_GB2312"/>
          <w:b w:val="false"/>
          <w:sz w:val="32"/>
          <w:szCs w:val="32"/>
        </w:rPr>
        <w:t>0.00</w:t>
      </w:r>
      <w:r>
        <w:rPr>
          <w:rFonts w:ascii="仿宋_GB2312" w:eastAsia="仿宋_GB2312"/>
          <w:b w:val="false"/>
          <w:sz w:val="32"/>
          <w:szCs w:val="32"/>
        </w:rPr>
        <w:t>万元，预决算差异率</w:t>
      </w:r>
      <w:r>
        <w:rPr>
          <w:rFonts w:ascii="仿宋_GB2312" w:eastAsia="仿宋_GB2312"/>
          <w:b w:val="false"/>
          <w:sz w:val="32"/>
          <w:szCs w:val="32"/>
        </w:rPr>
        <w:t>0.00</w:t>
      </w:r>
      <w:r>
        <w:rPr>
          <w:rFonts w:ascii="仿宋_GB2312" w:eastAsia="仿宋_GB2312"/>
          <w:b w:val="false"/>
          <w:sz w:val="32"/>
          <w:szCs w:val="32"/>
        </w:rPr>
        <w:t>%，主要原因是：</w:t>
      </w:r>
      <w:r>
        <w:rPr>
          <w:rFonts w:ascii="仿宋_GB2312" w:eastAsia="仿宋_GB2312"/>
          <w:b w:val="false"/>
          <w:sz w:val="32"/>
          <w:szCs w:val="32"/>
        </w:rPr>
        <w:t>无需求</w:t>
      </w:r>
      <w:r>
        <w:rPr>
          <w:rFonts w:ascii="仿宋_GB2312" w:eastAsia="仿宋_GB2312"/>
          <w:b w:val="false"/>
          <w:sz w:val="32"/>
          <w:szCs w:val="32"/>
        </w:rPr>
        <w:t>；公务用车运行维护费全年预算数</w:t>
      </w:r>
      <w:r>
        <w:rPr>
          <w:rFonts w:ascii="仿宋_GB2312" w:eastAsia="仿宋_GB2312"/>
          <w:b w:val="false"/>
          <w:sz w:val="32"/>
          <w:szCs w:val="32"/>
        </w:rPr>
        <w:t>1.74</w:t>
      </w:r>
      <w:r>
        <w:rPr>
          <w:rFonts w:ascii="仿宋_GB2312" w:eastAsia="仿宋_GB2312"/>
          <w:b w:val="false"/>
          <w:sz w:val="32"/>
          <w:szCs w:val="32"/>
        </w:rPr>
        <w:t>万元，决算数</w:t>
      </w:r>
      <w:r>
        <w:rPr>
          <w:rFonts w:ascii="仿宋_GB2312" w:eastAsia="仿宋_GB2312"/>
          <w:b w:val="false"/>
          <w:sz w:val="32"/>
          <w:szCs w:val="32"/>
        </w:rPr>
        <w:t>1.74</w:t>
      </w:r>
      <w:r>
        <w:rPr>
          <w:rFonts w:ascii="仿宋_GB2312" w:eastAsia="仿宋_GB2312"/>
          <w:b w:val="false"/>
          <w:sz w:val="32"/>
          <w:szCs w:val="32"/>
        </w:rPr>
        <w:t>万元，预决算差异率</w:t>
      </w:r>
      <w:r>
        <w:rPr>
          <w:rFonts w:ascii="仿宋_GB2312" w:eastAsia="仿宋_GB2312"/>
          <w:b w:val="false"/>
          <w:sz w:val="32"/>
          <w:szCs w:val="32"/>
        </w:rPr>
        <w:t>0.00</w:t>
      </w:r>
      <w:r>
        <w:rPr>
          <w:rFonts w:ascii="仿宋_GB2312" w:eastAsia="仿宋_GB2312"/>
          <w:b w:val="false"/>
          <w:sz w:val="32"/>
          <w:szCs w:val="32"/>
        </w:rPr>
        <w:t>%，主要原因是：</w:t>
      </w:r>
      <w:r>
        <w:rPr>
          <w:rFonts w:ascii="仿宋_GB2312" w:eastAsia="仿宋_GB2312"/>
          <w:b w:val="false"/>
          <w:sz w:val="32"/>
          <w:szCs w:val="32"/>
        </w:rPr>
        <w:t>无超支预算的情况</w:t>
      </w:r>
      <w:r>
        <w:rPr>
          <w:rFonts w:ascii="仿宋_GB2312" w:eastAsia="仿宋_GB2312"/>
          <w:b w:val="false"/>
          <w:sz w:val="32"/>
          <w:szCs w:val="32"/>
        </w:rPr>
        <w:t>；公务接待费全年预算数</w:t>
      </w:r>
      <w:r>
        <w:rPr>
          <w:rFonts w:ascii="仿宋_GB2312" w:eastAsia="仿宋_GB2312"/>
          <w:b w:val="false"/>
          <w:sz w:val="32"/>
          <w:szCs w:val="32"/>
        </w:rPr>
        <w:t>0.07</w:t>
      </w:r>
      <w:r>
        <w:rPr>
          <w:rFonts w:ascii="仿宋_GB2312" w:eastAsia="仿宋_GB2312"/>
          <w:b w:val="false"/>
          <w:sz w:val="32"/>
          <w:szCs w:val="32"/>
        </w:rPr>
        <w:t>万元，决算数</w:t>
      </w:r>
      <w:r>
        <w:rPr>
          <w:rFonts w:ascii="仿宋_GB2312" w:eastAsia="仿宋_GB2312"/>
          <w:b w:val="false"/>
          <w:sz w:val="32"/>
          <w:szCs w:val="32"/>
        </w:rPr>
        <w:t>0.07</w:t>
      </w:r>
      <w:r>
        <w:rPr>
          <w:rFonts w:ascii="仿宋_GB2312" w:eastAsia="仿宋_GB2312"/>
          <w:b w:val="false"/>
          <w:sz w:val="32"/>
          <w:szCs w:val="32"/>
        </w:rPr>
        <w:t>万元，预决算差异率</w:t>
      </w:r>
      <w:r>
        <w:rPr>
          <w:rFonts w:ascii="仿宋_GB2312" w:eastAsia="仿宋_GB2312"/>
          <w:b w:val="false"/>
          <w:sz w:val="32"/>
          <w:szCs w:val="32"/>
        </w:rPr>
        <w:t>0.00</w:t>
      </w:r>
      <w:r>
        <w:rPr>
          <w:rFonts w:ascii="仿宋_GB2312" w:eastAsia="仿宋_GB2312"/>
          <w:b w:val="false"/>
          <w:sz w:val="32"/>
          <w:szCs w:val="32"/>
        </w:rPr>
        <w:t>%，主要原因是：</w:t>
      </w:r>
      <w:r>
        <w:rPr>
          <w:rFonts w:ascii="仿宋_GB2312" w:eastAsia="仿宋_GB2312"/>
          <w:b w:val="false"/>
          <w:sz w:val="32"/>
          <w:szCs w:val="32"/>
        </w:rPr>
        <w:t>无超支预算的情况</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十、其他重要事项的情况说明</w:t>
      </w:r>
    </w:p>
    <w:p>
      <w:pPr>
        <w:widowControl w:val="true"/>
        <w:spacing w:before="0" w:beforeLines="0" w:beforeAutospacing="false" w:after="0" w:afterLines="0" w:afterAutospacing="false" w:line="240" w:lineRule="auto"/>
        <w:ind w:firstLine="200" w:firstLineChars="200"/>
        <w:jc w:val="left"/>
        <w:outlineLvl w:val="2"/>
        <w:rPr>
          <w:rFonts w:ascii="黑体" w:eastAsia="黑体"/>
          <w:sz w:val="32"/>
          <w:szCs w:val="32"/>
        </w:rPr>
      </w:pPr>
      <w:r>
        <w:rPr>
          <w:rFonts w:ascii="黑体" w:eastAsia="黑体"/>
          <w:b w:val="false"/>
          <w:sz w:val="32"/>
          <w:szCs w:val="32"/>
        </w:rPr>
        <w:t>（一）机关运行经费及公用经费支出情况</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w:t>
      </w:r>
      <w:r>
        <w:rPr>
          <w:rFonts w:ascii="仿宋_GB2312" w:eastAsia="仿宋_GB2312"/>
          <w:b w:val="false"/>
          <w:sz w:val="32"/>
          <w:szCs w:val="32"/>
        </w:rPr>
        <w:t>新疆维吾尔自治区药物警戒中心</w:t>
      </w:r>
      <w:r>
        <w:rPr>
          <w:rFonts w:ascii="仿宋_GB2312" w:eastAsia="仿宋_GB2312"/>
          <w:b w:val="false"/>
          <w:sz w:val="32"/>
          <w:szCs w:val="32"/>
        </w:rPr>
        <w:t>（事业单位）公用经费支出</w:t>
      </w:r>
      <w:r>
        <w:rPr>
          <w:rFonts w:ascii="仿宋_GB2312" w:eastAsia="仿宋_GB2312"/>
          <w:b w:val="false"/>
          <w:sz w:val="32"/>
          <w:szCs w:val="32"/>
        </w:rPr>
        <w:t>19.71</w:t>
      </w:r>
      <w:r>
        <w:rPr>
          <w:rFonts w:ascii="仿宋_GB2312" w:eastAsia="仿宋_GB2312"/>
          <w:b w:val="false"/>
          <w:sz w:val="32"/>
          <w:szCs w:val="32"/>
        </w:rPr>
        <w:t>万元，</w:t>
      </w:r>
      <w:r>
        <w:rPr>
          <w:rFonts w:ascii="仿宋_GB2312" w:eastAsia="仿宋_GB2312"/>
          <w:b w:val="false"/>
          <w:sz w:val="32"/>
          <w:szCs w:val="32"/>
        </w:rPr>
        <w:t>比上年增加</w:t>
      </w:r>
      <w:r>
        <w:rPr>
          <w:rFonts w:ascii="仿宋_GB2312" w:eastAsia="仿宋_GB2312"/>
          <w:b w:val="false"/>
          <w:sz w:val="32"/>
          <w:szCs w:val="32"/>
        </w:rPr>
        <w:t>7.72</w:t>
      </w:r>
      <w:r>
        <w:rPr>
          <w:rFonts w:ascii="仿宋_GB2312" w:eastAsia="仿宋_GB2312"/>
          <w:b w:val="false"/>
          <w:sz w:val="32"/>
          <w:szCs w:val="32"/>
        </w:rPr>
        <w:t>万元，</w:t>
      </w:r>
      <w:r>
        <w:rPr>
          <w:rFonts w:ascii="仿宋_GB2312" w:eastAsia="仿宋_GB2312"/>
          <w:b w:val="false"/>
          <w:sz w:val="32"/>
          <w:szCs w:val="32"/>
        </w:rPr>
        <w:t>增长</w:t>
      </w:r>
      <w:r>
        <w:rPr>
          <w:rFonts w:ascii="仿宋_GB2312" w:eastAsia="仿宋_GB2312"/>
          <w:b w:val="false"/>
          <w:sz w:val="32"/>
          <w:szCs w:val="32"/>
        </w:rPr>
        <w:t>64.39</w:t>
      </w:r>
      <w:r>
        <w:rPr>
          <w:rFonts w:ascii="仿宋_GB2312" w:eastAsia="仿宋_GB2312"/>
          <w:b w:val="false"/>
          <w:sz w:val="32"/>
          <w:szCs w:val="32"/>
        </w:rPr>
        <w:t>%，</w:t>
      </w:r>
      <w:r>
        <w:rPr>
          <w:rFonts w:ascii="仿宋_GB2312" w:eastAsia="仿宋_GB2312"/>
          <w:b w:val="false"/>
          <w:sz w:val="32"/>
          <w:szCs w:val="32"/>
        </w:rPr>
        <w:t>主要原因是：</w:t>
      </w:r>
      <w:r>
        <w:rPr>
          <w:rFonts w:ascii="仿宋_GB2312" w:eastAsia="仿宋_GB2312"/>
          <w:b w:val="false"/>
          <w:sz w:val="32"/>
          <w:szCs w:val="32"/>
        </w:rPr>
        <w:t>2025年为我单位成立第一年，上年数据不具备实际对比参考意义</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2"/>
        <w:rPr>
          <w:rFonts w:ascii="黑体" w:eastAsia="黑体"/>
          <w:sz w:val="32"/>
          <w:szCs w:val="32"/>
        </w:rPr>
      </w:pPr>
      <w:r>
        <w:rPr>
          <w:rFonts w:ascii="黑体" w:eastAsia="黑体"/>
          <w:b w:val="false"/>
          <w:sz w:val="32"/>
          <w:szCs w:val="32"/>
        </w:rPr>
        <w:t>（二）政府采购情况</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2025年度政府采购支出总额</w:t>
      </w:r>
      <w:r>
        <w:rPr>
          <w:rFonts w:ascii="仿宋_GB2312" w:eastAsia="仿宋_GB2312"/>
          <w:b w:val="false"/>
          <w:sz w:val="32"/>
          <w:szCs w:val="32"/>
        </w:rPr>
        <w:t>458.25</w:t>
      </w:r>
      <w:r>
        <w:rPr>
          <w:rFonts w:ascii="仿宋_GB2312" w:eastAsia="仿宋_GB2312"/>
          <w:b w:val="false"/>
          <w:sz w:val="32"/>
          <w:szCs w:val="32"/>
        </w:rPr>
        <w:t>万元，其中：政府采购货物支出</w:t>
      </w:r>
      <w:r>
        <w:rPr>
          <w:rFonts w:ascii="仿宋_GB2312" w:eastAsia="仿宋_GB2312"/>
          <w:b w:val="false"/>
          <w:sz w:val="32"/>
          <w:szCs w:val="32"/>
        </w:rPr>
        <w:t>13.59</w:t>
      </w:r>
      <w:r>
        <w:rPr>
          <w:rFonts w:ascii="仿宋_GB2312" w:eastAsia="仿宋_GB2312"/>
          <w:b w:val="false"/>
          <w:sz w:val="32"/>
          <w:szCs w:val="32"/>
        </w:rPr>
        <w:t>万元、政府采购工程支出</w:t>
      </w:r>
      <w:r>
        <w:rPr>
          <w:rFonts w:ascii="仿宋_GB2312" w:eastAsia="仿宋_GB2312"/>
          <w:b w:val="false"/>
          <w:sz w:val="32"/>
          <w:szCs w:val="32"/>
        </w:rPr>
        <w:t>0.00</w:t>
      </w:r>
      <w:r>
        <w:rPr>
          <w:rFonts w:ascii="仿宋_GB2312" w:eastAsia="仿宋_GB2312"/>
          <w:b w:val="false"/>
          <w:sz w:val="32"/>
          <w:szCs w:val="32"/>
        </w:rPr>
        <w:t>万元、政府采购服务支出</w:t>
      </w:r>
      <w:r>
        <w:rPr>
          <w:rFonts w:ascii="仿宋_GB2312" w:eastAsia="仿宋_GB2312"/>
          <w:b w:val="false"/>
          <w:sz w:val="32"/>
          <w:szCs w:val="32"/>
        </w:rPr>
        <w:t>444.66</w:t>
      </w:r>
      <w:r>
        <w:rPr>
          <w:rFonts w:ascii="仿宋_GB2312" w:eastAsia="仿宋_GB2312"/>
          <w:b w:val="false"/>
          <w:sz w:val="32"/>
          <w:szCs w:val="32"/>
        </w:rPr>
        <w:t>万元。</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授予中小企业合同金额</w:t>
      </w:r>
      <w:r>
        <w:rPr>
          <w:rFonts w:ascii="仿宋_GB2312" w:eastAsia="仿宋_GB2312"/>
          <w:b w:val="false"/>
          <w:sz w:val="32"/>
          <w:szCs w:val="32"/>
        </w:rPr>
        <w:t>367.75</w:t>
      </w:r>
      <w:r>
        <w:rPr>
          <w:rFonts w:ascii="仿宋_GB2312" w:eastAsia="仿宋_GB2312"/>
          <w:b w:val="false"/>
          <w:sz w:val="32"/>
          <w:szCs w:val="32"/>
        </w:rPr>
        <w:t>万元，占政府采购支出总额的</w:t>
      </w:r>
      <w:r>
        <w:rPr>
          <w:rFonts w:ascii="仿宋_GB2312" w:eastAsia="仿宋_GB2312"/>
          <w:b w:val="false"/>
          <w:sz w:val="32"/>
          <w:szCs w:val="32"/>
        </w:rPr>
        <w:t>80.25</w:t>
      </w:r>
      <w:r>
        <w:rPr>
          <w:rFonts w:ascii="仿宋_GB2312" w:eastAsia="仿宋_GB2312"/>
          <w:b w:val="false"/>
          <w:sz w:val="32"/>
          <w:szCs w:val="32"/>
        </w:rPr>
        <w:t>%，其中：授予小微企业合同金额</w:t>
      </w:r>
      <w:r>
        <w:rPr>
          <w:rFonts w:ascii="仿宋_GB2312" w:eastAsia="仿宋_GB2312"/>
          <w:b w:val="false"/>
          <w:sz w:val="32"/>
          <w:szCs w:val="32"/>
        </w:rPr>
        <w:t>367.75</w:t>
      </w:r>
      <w:r>
        <w:rPr>
          <w:rFonts w:ascii="仿宋_GB2312" w:eastAsia="仿宋_GB2312"/>
          <w:b w:val="false"/>
          <w:sz w:val="32"/>
          <w:szCs w:val="32"/>
        </w:rPr>
        <w:t>万元，占政府采购支出总额的</w:t>
      </w:r>
      <w:r>
        <w:rPr>
          <w:rFonts w:ascii="仿宋_GB2312" w:eastAsia="仿宋_GB2312"/>
          <w:b w:val="false"/>
          <w:sz w:val="32"/>
          <w:szCs w:val="32"/>
        </w:rPr>
        <w:t>80.25</w:t>
      </w:r>
      <w:r>
        <w:rPr>
          <w:rFonts w:ascii="仿宋_GB2312" w:eastAsia="仿宋_GB2312"/>
          <w:b w:val="false"/>
          <w:sz w:val="32"/>
          <w:szCs w:val="32"/>
        </w:rPr>
        <w:t>%。</w:t>
      </w:r>
    </w:p>
    <w:p>
      <w:pPr>
        <w:widowControl w:val="true"/>
        <w:spacing w:before="0" w:beforeLines="0" w:beforeAutospacing="false" w:after="0" w:afterLines="0" w:afterAutospacing="false" w:line="240" w:lineRule="auto"/>
        <w:ind w:firstLine="200" w:firstLineChars="200"/>
        <w:jc w:val="left"/>
        <w:outlineLvl w:val="2"/>
        <w:rPr>
          <w:rFonts w:ascii="黑体" w:eastAsia="黑体"/>
          <w:sz w:val="32"/>
          <w:szCs w:val="32"/>
        </w:rPr>
      </w:pPr>
      <w:r>
        <w:rPr>
          <w:rFonts w:ascii="黑体" w:eastAsia="黑体"/>
          <w:b w:val="false"/>
          <w:sz w:val="32"/>
          <w:szCs w:val="32"/>
        </w:rPr>
        <w:t>（三）国有资产占用情况说明</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截至2025年12月31日，房屋</w:t>
      </w:r>
      <w:r>
        <w:rPr>
          <w:rFonts w:ascii="仿宋_GB2312" w:eastAsia="仿宋_GB2312"/>
          <w:b w:val="false"/>
          <w:sz w:val="32"/>
          <w:szCs w:val="32"/>
        </w:rPr>
        <w:t>0.00</w:t>
      </w:r>
      <w:r>
        <w:rPr>
          <w:rFonts w:ascii="仿宋_GB2312" w:eastAsia="仿宋_GB2312"/>
          <w:b w:val="false"/>
          <w:sz w:val="32"/>
          <w:szCs w:val="32"/>
        </w:rPr>
        <w:t>平方米，价值</w:t>
      </w:r>
      <w:r>
        <w:rPr>
          <w:rFonts w:ascii="仿宋_GB2312" w:eastAsia="仿宋_GB2312"/>
          <w:b w:val="false"/>
          <w:sz w:val="32"/>
          <w:szCs w:val="32"/>
        </w:rPr>
        <w:t>0.00</w:t>
      </w:r>
      <w:r>
        <w:rPr>
          <w:rFonts w:ascii="仿宋_GB2312" w:eastAsia="仿宋_GB2312"/>
          <w:b w:val="false"/>
          <w:sz w:val="32"/>
          <w:szCs w:val="32"/>
        </w:rPr>
        <w:t>万元。车辆</w:t>
      </w:r>
      <w:r>
        <w:rPr>
          <w:rFonts w:ascii="仿宋_GB2312" w:eastAsia="仿宋_GB2312"/>
          <w:b w:val="false"/>
          <w:sz w:val="32"/>
          <w:szCs w:val="32"/>
        </w:rPr>
        <w:t>1</w:t>
      </w:r>
      <w:r>
        <w:rPr>
          <w:rFonts w:ascii="仿宋_GB2312" w:eastAsia="仿宋_GB2312"/>
          <w:b w:val="false"/>
          <w:sz w:val="32"/>
          <w:szCs w:val="32"/>
        </w:rPr>
        <w:t>辆，价值</w:t>
      </w:r>
      <w:r>
        <w:rPr>
          <w:rFonts w:ascii="仿宋_GB2312" w:eastAsia="仿宋_GB2312"/>
          <w:b w:val="false"/>
          <w:sz w:val="32"/>
          <w:szCs w:val="32"/>
        </w:rPr>
        <w:t>33.22</w:t>
      </w:r>
      <w:r>
        <w:rPr>
          <w:rFonts w:ascii="仿宋_GB2312" w:eastAsia="仿宋_GB2312"/>
          <w:b w:val="false"/>
          <w:sz w:val="32"/>
          <w:szCs w:val="32"/>
        </w:rPr>
        <w:t>万元，其中：副部（省）级及以上领导用车</w:t>
      </w:r>
      <w:r>
        <w:rPr>
          <w:rFonts w:ascii="仿宋_GB2312" w:eastAsia="仿宋_GB2312"/>
          <w:b w:val="false"/>
          <w:sz w:val="32"/>
          <w:szCs w:val="32"/>
        </w:rPr>
        <w:t>0</w:t>
      </w:r>
      <w:r>
        <w:rPr>
          <w:rFonts w:ascii="仿宋_GB2312" w:eastAsia="仿宋_GB2312"/>
          <w:b w:val="false"/>
          <w:sz w:val="32"/>
          <w:szCs w:val="32"/>
        </w:rPr>
        <w:t>辆、主要负责人用车</w:t>
      </w:r>
      <w:r>
        <w:rPr>
          <w:rFonts w:ascii="仿宋_GB2312" w:eastAsia="仿宋_GB2312"/>
          <w:b w:val="false"/>
          <w:sz w:val="32"/>
          <w:szCs w:val="32"/>
        </w:rPr>
        <w:t>0</w:t>
      </w:r>
      <w:r>
        <w:rPr>
          <w:rFonts w:ascii="仿宋_GB2312" w:eastAsia="仿宋_GB2312"/>
          <w:b w:val="false"/>
          <w:sz w:val="32"/>
          <w:szCs w:val="32"/>
        </w:rPr>
        <w:t>辆、机要通信用车</w:t>
      </w:r>
      <w:r>
        <w:rPr>
          <w:rFonts w:ascii="仿宋_GB2312" w:eastAsia="仿宋_GB2312"/>
          <w:b w:val="false"/>
          <w:sz w:val="32"/>
          <w:szCs w:val="32"/>
        </w:rPr>
        <w:t>0</w:t>
      </w:r>
      <w:r>
        <w:rPr>
          <w:rFonts w:ascii="仿宋_GB2312" w:eastAsia="仿宋_GB2312"/>
          <w:b w:val="false"/>
          <w:sz w:val="32"/>
          <w:szCs w:val="32"/>
        </w:rPr>
        <w:t>辆、应急保障用车</w:t>
      </w:r>
      <w:r>
        <w:rPr>
          <w:rFonts w:ascii="仿宋_GB2312" w:eastAsia="仿宋_GB2312"/>
          <w:b w:val="false"/>
          <w:sz w:val="32"/>
          <w:szCs w:val="32"/>
        </w:rPr>
        <w:t>0</w:t>
      </w:r>
      <w:r>
        <w:rPr>
          <w:rFonts w:ascii="仿宋_GB2312" w:eastAsia="仿宋_GB2312"/>
          <w:b w:val="false"/>
          <w:sz w:val="32"/>
          <w:szCs w:val="32"/>
        </w:rPr>
        <w:t>辆、执法执勤用车</w:t>
      </w:r>
      <w:r>
        <w:rPr>
          <w:rFonts w:ascii="仿宋_GB2312" w:eastAsia="仿宋_GB2312"/>
          <w:b w:val="false"/>
          <w:sz w:val="32"/>
          <w:szCs w:val="32"/>
        </w:rPr>
        <w:t>0</w:t>
      </w:r>
      <w:r>
        <w:rPr>
          <w:rFonts w:ascii="仿宋_GB2312" w:eastAsia="仿宋_GB2312"/>
          <w:b w:val="false"/>
          <w:sz w:val="32"/>
          <w:szCs w:val="32"/>
        </w:rPr>
        <w:t>辆、特种专业技术用车</w:t>
      </w:r>
      <w:r>
        <w:rPr>
          <w:rFonts w:ascii="仿宋_GB2312" w:eastAsia="仿宋_GB2312"/>
          <w:b w:val="false"/>
          <w:sz w:val="32"/>
          <w:szCs w:val="32"/>
        </w:rPr>
        <w:t>0</w:t>
      </w:r>
      <w:r>
        <w:rPr>
          <w:rFonts w:ascii="仿宋_GB2312" w:eastAsia="仿宋_GB2312"/>
          <w:b w:val="false"/>
          <w:sz w:val="32"/>
          <w:szCs w:val="32"/>
        </w:rPr>
        <w:t>辆、离退休干部服务用车</w:t>
      </w:r>
      <w:r>
        <w:rPr>
          <w:rFonts w:ascii="仿宋_GB2312" w:eastAsia="仿宋_GB2312"/>
          <w:b w:val="false"/>
          <w:sz w:val="32"/>
          <w:szCs w:val="32"/>
        </w:rPr>
        <w:t>0</w:t>
      </w:r>
      <w:r>
        <w:rPr>
          <w:rFonts w:ascii="仿宋_GB2312" w:eastAsia="仿宋_GB2312"/>
          <w:b w:val="false"/>
          <w:sz w:val="32"/>
          <w:szCs w:val="32"/>
        </w:rPr>
        <w:t>辆、其他用车</w:t>
      </w:r>
      <w:r>
        <w:rPr>
          <w:rFonts w:ascii="仿宋_GB2312" w:eastAsia="仿宋_GB2312"/>
          <w:b w:val="false"/>
          <w:sz w:val="32"/>
          <w:szCs w:val="32"/>
        </w:rPr>
        <w:t>1</w:t>
      </w:r>
      <w:r>
        <w:rPr>
          <w:rFonts w:ascii="仿宋_GB2312" w:eastAsia="仿宋_GB2312"/>
          <w:b w:val="false"/>
          <w:sz w:val="32"/>
          <w:szCs w:val="32"/>
        </w:rPr>
        <w:t>辆，其他用车主要是：</w:t>
      </w:r>
      <w:r>
        <w:rPr>
          <w:rFonts w:ascii="仿宋_GB2312" w:eastAsia="仿宋_GB2312"/>
          <w:b w:val="false"/>
          <w:sz w:val="32"/>
          <w:szCs w:val="32"/>
        </w:rPr>
        <w:t>事业单位一般公务用车</w:t>
      </w:r>
      <w:r>
        <w:rPr>
          <w:rFonts w:ascii="仿宋_GB2312" w:eastAsia="仿宋_GB2312"/>
          <w:b w:val="false"/>
          <w:sz w:val="32"/>
          <w:szCs w:val="32"/>
        </w:rPr>
        <w:t>;单价100万元（含）以上设备（不含车辆）</w:t>
      </w:r>
      <w:r>
        <w:rPr>
          <w:rFonts w:ascii="仿宋_GB2312" w:eastAsia="仿宋_GB2312"/>
          <w:b w:val="false"/>
          <w:sz w:val="32"/>
          <w:szCs w:val="32"/>
        </w:rPr>
        <w:t>0</w:t>
      </w:r>
      <w:r>
        <w:rPr>
          <w:rFonts w:ascii="仿宋_GB2312" w:eastAsia="仿宋_GB2312"/>
          <w:b w:val="false"/>
          <w:sz w:val="32"/>
          <w:szCs w:val="32"/>
        </w:rPr>
        <w:t>台（套）。</w:t>
      </w: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十一、预算绩效的情况说明</w:t>
      </w:r>
      <w:r>
        <w:rPr>
          <w:rFonts w:ascii="黑体" w:eastAsia="黑体"/>
          <w:b w:val="false"/>
          <w:sz w:val="32"/>
          <w:szCs w:val="32"/>
        </w:rPr>
        <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根据预算绩效管理要求，本</w:t>
      </w:r>
      <w:r>
        <w:rPr>
          <w:rFonts w:ascii="仿宋_GB2312" w:eastAsia="仿宋_GB2312"/>
          <w:b w:val="false"/>
          <w:sz w:val="32"/>
          <w:szCs w:val="32"/>
        </w:rPr>
        <w:t>单位</w:t>
      </w:r>
      <w:r>
        <w:rPr>
          <w:rFonts w:ascii="仿宋_GB2312" w:eastAsia="仿宋_GB2312"/>
          <w:b w:val="false"/>
          <w:sz w:val="32"/>
          <w:szCs w:val="32"/>
        </w:rPr>
        <w:t>2025年度预算绩效管理形成整体支出绩效自评表1个，全年预算总额</w:t>
      </w:r>
      <w:r>
        <w:rPr>
          <w:rFonts w:ascii="仿宋_GB2312" w:eastAsia="仿宋_GB2312"/>
          <w:b w:val="false"/>
          <w:sz w:val="32"/>
          <w:szCs w:val="32"/>
        </w:rPr>
        <w:t>1,037.58</w:t>
      </w:r>
      <w:r>
        <w:rPr>
          <w:rFonts w:ascii="仿宋_GB2312" w:eastAsia="仿宋_GB2312"/>
          <w:b w:val="false"/>
          <w:sz w:val="32"/>
          <w:szCs w:val="32"/>
        </w:rPr>
        <w:t>万元，实际执行总额</w:t>
      </w:r>
      <w:r>
        <w:rPr>
          <w:rFonts w:ascii="仿宋_GB2312" w:eastAsia="仿宋_GB2312"/>
          <w:b w:val="false"/>
          <w:sz w:val="32"/>
          <w:szCs w:val="32"/>
        </w:rPr>
        <w:t>995.62</w:t>
      </w:r>
      <w:r>
        <w:rPr>
          <w:rFonts w:ascii="仿宋_GB2312" w:eastAsia="仿宋_GB2312"/>
          <w:b w:val="false"/>
          <w:sz w:val="32"/>
          <w:szCs w:val="32"/>
        </w:rPr>
        <w:t>万元；预算绩效评价项目</w:t>
      </w:r>
      <w:r>
        <w:rPr>
          <w:rFonts w:ascii="仿宋_GB2312" w:eastAsia="仿宋_GB2312"/>
          <w:b w:val="false"/>
          <w:sz w:val="32"/>
          <w:szCs w:val="32"/>
        </w:rPr>
        <w:t>3</w:t>
      </w:r>
      <w:r>
        <w:rPr>
          <w:rFonts w:ascii="仿宋_GB2312" w:eastAsia="仿宋_GB2312"/>
          <w:b w:val="false"/>
          <w:sz w:val="32"/>
          <w:szCs w:val="32"/>
        </w:rPr>
        <w:t>个，全年预算数</w:t>
      </w:r>
      <w:r>
        <w:rPr>
          <w:rFonts w:ascii="仿宋_GB2312" w:eastAsia="仿宋_GB2312"/>
          <w:b w:val="false"/>
          <w:sz w:val="32"/>
          <w:szCs w:val="32"/>
        </w:rPr>
        <w:t>547.00</w:t>
      </w:r>
      <w:r>
        <w:rPr>
          <w:rFonts w:ascii="仿宋_GB2312" w:eastAsia="仿宋_GB2312"/>
          <w:b w:val="false"/>
          <w:sz w:val="32"/>
          <w:szCs w:val="32"/>
        </w:rPr>
        <w:t>万元，全年执行数</w:t>
      </w:r>
      <w:r>
        <w:rPr>
          <w:rFonts w:ascii="仿宋_GB2312" w:eastAsia="仿宋_GB2312"/>
          <w:b w:val="false"/>
          <w:sz w:val="32"/>
          <w:szCs w:val="32"/>
        </w:rPr>
        <w:t>547.00</w:t>
      </w:r>
      <w:r>
        <w:rPr>
          <w:rFonts w:ascii="仿宋_GB2312" w:eastAsia="仿宋_GB2312"/>
          <w:b w:val="false"/>
          <w:sz w:val="32"/>
          <w:szCs w:val="32"/>
        </w:rPr>
        <w:t>万元。预算绩效管理取得的成效：</w:t>
      </w:r>
      <w:r>
        <w:rPr>
          <w:rFonts w:ascii="仿宋_GB2312" w:eastAsia="仿宋_GB2312"/>
          <w:b w:val="false"/>
          <w:sz w:val="32"/>
          <w:szCs w:val="32"/>
        </w:rPr>
        <w:t>一是保障我局互联网专线满足局机关和4个事业单位的访问需求；二是保障我局信息化设备软硬件和应用系统的正常运维；三是保障中心日常工作开展。有效提升“两品一械”总体安全水平、伍素质和装备配置水平；四是根据自治区发改委批复的“自治区数智药监建设项目可行性研究报告（代项目建议书）”要求，完成审评审批子系统建设，实现高效的审评审批流程；五是对监督检查子系统进行升级改造，提升监督检查效能；六是完成协同办公系统升级改造，促进单位内部高效协作；七是依据自治区数发局《关于开展“统一受理”系统与自建业务系统对接工作的函》要求，开展自建系统行政审批系统2.0与自治区数发局“统一受理”系统接口开发对接；八是通过等保、密评项目确保信息安全；借助信息化监理项目保障各项目顺利实施；九是合理租赁电路网络、单位WIFI业务以及视频云会议室，满足日常办公和会议需求；十是开展药品和医疗器械网络经营风险分析研究项目，为行业风险管控提供有力支持；十一是通过运维服务保障财务内控系统稳定运行；十二是开展全区药品不良反应、化妆品不良反应、医疗器械不良事件、疑似预防接种异常反应(AEFI)及药物滥用的监测、培训、宣传工作；十三是开展严重、死亡药械不良反应/事件报告评价和现场调查；十四是应对处置全区预警信号及国内药械安全事件；十五是完善地(州、市)级药品、医疗器械和化妆品不良反应(不良事件)、药物滥用监测设备、网络和哨点医院建设；十六是经过开展药品和医疗器械不良反应数据分析系统运维服务，解决该数据分析系统访问需求；十七是通过提升计算机终端软件正版化水平、解决全局计算机终端防范病毒入侵；十八是通过“开药店一次办"以及OCR技术研发功能开发，达到并完成“开药店一次办"以及在审批事项中的试点；十九是通过新增OA系统账号授权，有效提升OA账户使用率，确保工作有序进行；二十是通过开展药监数据统计和分析服务，提升药品监管数据质量，摸清产业概况，有效促进生物医药产业的监管与发展；二十一是通过完成与原有数据库的对接，使用集群化服务，提升数据安全性，达成药品智慧监管总体需求水平提高</w:t>
      </w:r>
      <w:r>
        <w:rPr>
          <w:rFonts w:ascii="仿宋_GB2312" w:eastAsia="仿宋_GB2312"/>
          <w:b w:val="false"/>
          <w:sz w:val="32"/>
          <w:szCs w:val="32"/>
        </w:rPr>
        <w:t>。发现的问题及原因：</w:t>
      </w:r>
      <w:r>
        <w:rPr>
          <w:rFonts w:ascii="仿宋_GB2312" w:eastAsia="仿宋_GB2312"/>
          <w:b w:val="false"/>
          <w:sz w:val="32"/>
          <w:szCs w:val="32"/>
        </w:rPr>
        <w:t>项目全部完成、执行 100%</w:t>
      </w:r>
      <w:r>
        <w:rPr>
          <w:rFonts w:ascii="仿宋_GB2312" w:eastAsia="仿宋_GB2312"/>
          <w:b w:val="false"/>
          <w:sz w:val="32"/>
          <w:szCs w:val="32"/>
        </w:rPr>
        <w:t>。下一步改进措施：</w:t>
      </w:r>
      <w:r>
        <w:rPr>
          <w:rFonts w:ascii="仿宋_GB2312" w:eastAsia="仿宋_GB2312"/>
          <w:b w:val="false"/>
          <w:sz w:val="32"/>
          <w:szCs w:val="32"/>
        </w:rPr>
        <w:t>加强资金使用管理的工作,在绩效目标的设定和执行上下功夫,加大绩效执行能力和监管力度,针对财政资金在前期准备、组织过程、分析评价上能够形成一整套的工作机制,不断完善绩效目标设定、预期指标值的准确率,和绩效全过程监督工作,为绩效监控工作奠定坚实的基础</w:t>
      </w:r>
      <w:r>
        <w:rPr>
          <w:rFonts w:ascii="仿宋_GB2312" w:eastAsia="仿宋_GB2312"/>
          <w:b w:val="false"/>
          <w:sz w:val="32"/>
          <w:szCs w:val="32"/>
        </w:rPr>
        <w:t>。具体附整体支出绩效自评表、项目支出绩效自评表及项目支出绩效评价报告。</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p>
    <w:p>
      <w:pPr>
        <w:widowControl w:val="true"/>
        <w:spacing w:before="0" w:beforeLines="0" w:beforeAutospacing="false" w:after="0" w:afterLines="0" w:afterAutospacing="false" w:line="240" w:lineRule="auto"/>
        <w:ind w:firstLine="200" w:firstLineChars="200"/>
        <w:jc w:val="left"/>
        <w:outlineLvl w:val="1"/>
        <w:rPr>
          <w:rFonts w:ascii="黑体" w:eastAsia="黑体"/>
          <w:sz w:val="32"/>
          <w:szCs w:val="32"/>
        </w:rPr>
      </w:pPr>
      <w:r>
        <w:rPr>
          <w:rFonts w:ascii="黑体" w:eastAsia="黑体"/>
          <w:b w:val="false"/>
          <w:sz w:val="32"/>
          <w:szCs w:val="32"/>
        </w:rPr>
        <w:t>十二、其他需说明的事项</w:t>
      </w:r>
      <w:r>
        <w:rPr>
          <w:rFonts w:ascii="黑体" w:eastAsia="黑体"/>
          <w:b w:val="false"/>
          <w:sz w:val="32"/>
          <w:szCs w:val="32"/>
        </w:rPr>
        <w:t/>
      </w:r>
    </w:p>
    <w:p>
      <w:pPr>
        <w:widowControl w:val="true"/>
        <w:spacing w:before="0" w:beforeLines="0" w:beforeAutospacing="false" w:after="0" w:afterLines="0" w:afterAutospacing="false" w:line="240" w:lineRule="auto"/>
        <w:ind w:firstLine="200" w:firstLineChars="200"/>
        <w:jc w:val="both"/>
        <w:rPr>
          <w:rFonts w:ascii="仿宋_GB2312" w:eastAsia="仿宋_GB2312"/>
          <w:sz w:val="32"/>
          <w:szCs w:val="32"/>
        </w:rPr>
      </w:pPr>
      <w:r>
        <w:rPr>
          <w:rFonts w:ascii="仿宋_GB2312" w:eastAsia="仿宋_GB2312"/>
          <w:b w:val="false"/>
          <w:sz w:val="32"/>
          <w:szCs w:val="32"/>
        </w:rPr>
        <w:t>本</w:t>
      </w:r>
      <w:r>
        <w:rPr>
          <w:rFonts w:ascii="仿宋_GB2312" w:eastAsia="仿宋_GB2312"/>
          <w:b w:val="false"/>
          <w:sz w:val="32"/>
          <w:szCs w:val="32"/>
        </w:rPr>
        <w:t>单位</w:t>
      </w:r>
      <w:r>
        <w:rPr>
          <w:rFonts w:ascii="仿宋_GB2312" w:eastAsia="仿宋_GB2312"/>
          <w:b w:val="false"/>
          <w:sz w:val="32"/>
          <w:szCs w:val="32"/>
        </w:rPr>
        <w:t>无其他需说明的事项。</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p>
    <w:p>
      <w:pPr>
        <w:widowControl w:val="true"/>
        <w:rPr/>
      </w:pPr>
      <w:r>
        <w:rPr>
          <w:rFonts/>
          <w:b w:val="false"/>
          <w:sz w:val="0"/>
          <w:szCs w:val="0"/>
        </w:rPr>
        <w:br w:type="page"/>
      </w:r>
    </w:p>
    <w:p>
      <w:pPr>
        <w:widowControl w:val="true"/>
        <w:spacing w:before="0" w:beforeLines="0" w:beforeAutospacing="false" w:after="0" w:afterLines="0" w:afterAutospacing="false" w:line="240" w:lineRule="auto"/>
        <w:ind/>
        <w:jc w:val="center"/>
        <w:outlineLvl w:val="0"/>
        <w:rPr>
          <w:rFonts w:ascii="黑体" w:eastAsia="黑体"/>
          <w:sz w:val="32"/>
          <w:szCs w:val="32"/>
        </w:rPr>
      </w:pPr>
      <w:r>
        <w:rPr>
          <w:rFonts w:ascii="黑体" w:eastAsia="黑体"/>
          <w:b w:val="false"/>
          <w:sz w:val="32"/>
          <w:szCs w:val="32"/>
        </w:rPr>
        <w:t>第三部分 专业名词解释</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一、财政拨款收入：</w:t>
      </w:r>
      <w:r>
        <w:rPr>
          <w:rFonts w:ascii="仿宋_GB2312" w:eastAsia="仿宋_GB2312"/>
          <w:b w:val="false"/>
          <w:sz w:val="32"/>
          <w:szCs w:val="32"/>
        </w:rPr>
        <w:t>指单位本年度从同级财政部门取得的财政拨款，包括一般公共预算财政拨款、政府性基金预算财政拨款和国有资本经营预算财政拨款。</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二、上级补助收入：</w:t>
      </w:r>
      <w:r>
        <w:rPr>
          <w:rFonts w:ascii="仿宋_GB2312" w:eastAsia="仿宋_GB2312"/>
          <w:b w:val="false"/>
          <w:sz w:val="32"/>
          <w:szCs w:val="32"/>
        </w:rPr>
        <w:t>指事业单位从主管部门和上级单位取得的非财政补助收入。</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三、事业收入：</w:t>
      </w:r>
      <w:r>
        <w:rPr>
          <w:rFonts w:ascii="仿宋_GB2312" w:eastAsia="仿宋_GB2312"/>
          <w:b w:val="false"/>
          <w:sz w:val="32"/>
          <w:szCs w:val="32"/>
        </w:rPr>
        <w:t>指事业单位开展专业业务活动及其辅助活动取得的收入。</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四、经营收入：</w:t>
      </w:r>
      <w:r>
        <w:rPr>
          <w:rFonts w:ascii="仿宋_GB2312" w:eastAsia="仿宋_GB2312"/>
          <w:b w:val="false"/>
          <w:sz w:val="32"/>
          <w:szCs w:val="32"/>
        </w:rPr>
        <w:t>指事业单位在专业业务活动及其辅助活动之外开展非独立核算经营活动取得的收入。</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五、附属单位上缴收入：</w:t>
      </w:r>
      <w:r>
        <w:rPr>
          <w:rFonts w:ascii="仿宋_GB2312" w:eastAsia="仿宋_GB2312"/>
          <w:b w:val="false"/>
          <w:sz w:val="32"/>
          <w:szCs w:val="32"/>
        </w:rPr>
        <w:t>指事业单位附属独立核算单位按照有关规定上缴的收入。</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六、其他收入：</w:t>
      </w:r>
      <w:r>
        <w:rPr>
          <w:rFonts w:ascii="仿宋_GB2312" w:eastAsia="仿宋_GB2312"/>
          <w:b w:val="false"/>
          <w:sz w:val="32"/>
          <w:szCs w:val="32"/>
        </w:rPr>
        <w:t>指单位取得的除上述“财政拨款收入”“上级补助收入”“事业收入”“经营收入”“附属单位上缴收入”以外的各项收入。</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七、年初结转和结余：</w:t>
      </w:r>
      <w:r>
        <w:rPr>
          <w:rFonts w:ascii="仿宋_GB2312" w:eastAsia="仿宋_GB2312"/>
          <w:b w:val="false"/>
          <w:sz w:val="32"/>
          <w:szCs w:val="32"/>
        </w:rPr>
        <w:t>指单位上年结转本年使用的基本支出结转、项目支出结转和结余、经营结余。</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八、使用非财政拨款结余（含专用结余）：</w:t>
      </w:r>
      <w:r>
        <w:rPr>
          <w:rFonts w:ascii="仿宋_GB2312" w:eastAsia="仿宋_GB2312"/>
          <w:b w:val="false"/>
          <w:sz w:val="32"/>
          <w:szCs w:val="32"/>
        </w:rPr>
        <w:t>指单位按照预算管理要求使用非财政拨款结余弥补收支差额的金额，以及使用专用结余安排支出的金额。</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九、结余分配</w:t>
      </w:r>
      <w:r>
        <w:rPr>
          <w:rFonts w:ascii="仿宋_GB2312" w:eastAsia="仿宋_GB2312"/>
          <w:b w:val="false"/>
          <w:sz w:val="32"/>
          <w:szCs w:val="32"/>
        </w:rPr>
        <w:t>：指单位缴纳企业所得税以及从非财政拨款结余或经营结余中提取各类结余的情况。</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十、年末结转和结余</w:t>
      </w:r>
      <w:r>
        <w:rPr>
          <w:rFonts w:ascii="仿宋_GB2312" w:eastAsia="仿宋_GB2312"/>
          <w:b w:val="false"/>
          <w:sz w:val="32"/>
          <w:szCs w:val="32"/>
        </w:rPr>
        <w:t>：指单位结转下年的基本支出结转、项目支出结转和结余、经营结余。</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十一、基本支出</w:t>
      </w:r>
      <w:r>
        <w:rPr>
          <w:rFonts w:ascii="仿宋_GB2312" w:eastAsia="仿宋_GB2312"/>
          <w:b w:val="false"/>
          <w:sz w:val="32"/>
          <w:szCs w:val="32"/>
        </w:rPr>
        <w:t>：指单位为保障机构正常运转、完成日常工作任务而发生的各项支出。</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十二、项目支出：</w:t>
      </w:r>
      <w:r>
        <w:rPr>
          <w:rFonts w:ascii="仿宋_GB2312" w:eastAsia="仿宋_GB2312"/>
          <w:b w:val="false"/>
          <w:sz w:val="32"/>
          <w:szCs w:val="32"/>
        </w:rPr>
        <w:t>指单位为完成特定的行政工作任务或事业发展目标，在基本支出之外发生的各项支出。</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十三、上缴上级支出：</w:t>
      </w:r>
      <w:r>
        <w:rPr>
          <w:rFonts w:ascii="仿宋_GB2312" w:eastAsia="仿宋_GB2312"/>
          <w:b w:val="false"/>
          <w:sz w:val="32"/>
          <w:szCs w:val="32"/>
        </w:rPr>
        <w:t>指事业单位按照财政部门和主管部门的规定上缴上级单位的支出。</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十四、经营支出：</w:t>
      </w:r>
      <w:r>
        <w:rPr>
          <w:rFonts w:ascii="仿宋_GB2312" w:eastAsia="仿宋_GB2312"/>
          <w:b w:val="false"/>
          <w:sz w:val="32"/>
          <w:szCs w:val="32"/>
        </w:rPr>
        <w:t>指事业单位在专业活动及辅助活动之外开展非独立核算经营活动发生的支出。</w:t>
      </w:r>
    </w:p>
    <w:p>
      <w:pPr>
        <w:widowControl w:val="true"/>
        <w:spacing w:before="0" w:beforeLines="0" w:beforeAutospacing="false" w:after="0" w:afterLines="0" w:afterAutospacing="false" w:line="240" w:lineRule="auto"/>
        <w:ind w:firstLine="200" w:firstLineChars="200"/>
        <w:jc w:val="left"/>
        <w:rPr>
          <w:rFonts w:ascii="宋体" w:eastAsia="仿宋_GB2312"/>
          <w:sz w:val="32"/>
          <w:szCs w:val="32"/>
        </w:rPr>
      </w:pPr>
      <w:r>
        <w:rPr>
          <w:rFonts w:ascii="宋体" w:eastAsia="仿宋_GB2312"/>
          <w:b w:val="true"/>
          <w:sz w:val="32"/>
          <w:szCs w:val="32"/>
        </w:rPr>
        <w:t>十五、对附属单位补助支出：</w:t>
      </w:r>
      <w:r>
        <w:rPr>
          <w:rFonts w:ascii="宋体" w:eastAsia="仿宋_GB2312"/>
          <w:b w:val="false"/>
          <w:sz w:val="32"/>
          <w:szCs w:val="32"/>
        </w:rPr>
        <w:t>指事业单位用财政补助收入之外的收入对附属单位补助发生的支出。</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十六、“三公”经费：</w:t>
      </w:r>
      <w:r>
        <w:rPr>
          <w:rFonts w:ascii="仿宋_GB2312" w:eastAsia="仿宋_GB2312"/>
          <w:b w:val="false"/>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val="true"/>
        <w:spacing w:before="0" w:beforeLines="0" w:beforeAutospacing="false" w:after="0" w:afterLines="0" w:afterAutospacing="false" w:line="240" w:lineRule="auto"/>
        <w:ind w:firstLine="200" w:firstLineChars="200"/>
        <w:jc w:val="left"/>
        <w:rPr>
          <w:rFonts w:ascii="仿宋_GB2312" w:eastAsia="仿宋_GB2312"/>
          <w:sz w:val="32"/>
          <w:szCs w:val="32"/>
        </w:rPr>
      </w:pPr>
      <w:r>
        <w:rPr>
          <w:rFonts w:ascii="仿宋_GB2312" w:eastAsia="仿宋_GB2312"/>
          <w:b w:val="true"/>
          <w:sz w:val="32"/>
          <w:szCs w:val="32"/>
        </w:rPr>
        <w:t>十七、机关运行经费：</w:t>
      </w:r>
      <w:r>
        <w:rPr>
          <w:rFonts w:ascii="仿宋_GB2312" w:eastAsia="仿宋_GB2312"/>
          <w:b w:val="false"/>
          <w:sz w:val="32"/>
          <w:szCs w:val="32"/>
        </w:rPr>
        <w:t>指行政单位和参照公务员法管理的事业单位财政拨款基本支出中的公用经费支出。</w:t>
      </w:r>
    </w:p>
    <w:p>
      <w:pPr>
        <w:widowControl w:val="true"/>
        <w:rPr/>
      </w:pPr>
      <w:r>
        <w:rPr>
          <w:rFonts/>
          <w:b w:val="false"/>
          <w:sz w:val="0"/>
          <w:szCs w:val="0"/>
        </w:rPr>
        <w:br w:type="page"/>
      </w:r>
    </w:p>
    <w:p>
      <w:pPr>
        <w:widowControl w:val="true"/>
        <w:spacing w:before="0" w:beforeLines="0" w:beforeAutospacing="false" w:after="0" w:afterLines="0" w:afterAutospacing="false" w:line="240" w:lineRule="auto"/>
        <w:ind/>
        <w:jc w:val="center"/>
        <w:outlineLvl w:val="0"/>
        <w:rPr>
          <w:rFonts w:ascii="黑体" w:eastAsia="黑体"/>
          <w:sz w:val="32"/>
          <w:szCs w:val="32"/>
        </w:rPr>
      </w:pPr>
      <w:r>
        <w:rPr>
          <w:rFonts w:ascii="黑体" w:eastAsia="黑体"/>
          <w:b w:val="false"/>
          <w:sz w:val="32"/>
          <w:szCs w:val="32"/>
        </w:rPr>
        <w:t>第四部分 部门决算报表（见附表）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一、《收入支出决算总表》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二、《收入决算表》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三、《支出决算表》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四、《财政拨款收入支出决算总表》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五、《一般公共预算财政拨款支出决算表》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六、《一般公共预算财政拨款基本支出决算表》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七、《政府性基金预算财政拨款收入支出决算表》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八、《国有资本经营预算财政拨款收入支出决算表》</w:t>
      </w:r>
    </w:p>
    <w:p>
      <w:pPr>
        <w:widowControl w:val="true"/>
        <w:spacing w:before="0" w:beforeLines="0" w:beforeAutospacing="false" w:after="0" w:afterLines="0" w:afterAutospacing="false" w:line="240" w:lineRule="auto"/>
        <w:ind w:firstLine="200" w:firstLineChars="200"/>
        <w:jc w:val="left"/>
        <w:outlineLvl w:val="1"/>
        <w:rPr>
          <w:rFonts w:ascii="仿宋_GB2312" w:eastAsia="仿宋_GB2312"/>
          <w:sz w:val="32"/>
          <w:szCs w:val="32"/>
        </w:rPr>
      </w:pPr>
      <w:r>
        <w:rPr>
          <w:rFonts w:ascii="仿宋_GB2312" w:eastAsia="仿宋_GB2312"/>
          <w:b w:val="false"/>
          <w:sz w:val="32"/>
          <w:szCs w:val="32"/>
        </w:rPr>
        <w:t>九、《财政拨款“三公”经费支出决算表》</w:t>
      </w:r>
    </w:p>
    <w:sectPr>
      <w:pgSz w:w="12240" w:h="15840"/>
      <w:pgMar w:top="1440" w:right="1800" w:bottom="1440" w:left="1800" w:header="720" w:footer="720" w:gutter="0"/>
    </w:sectPr>
  </w:body>
</w:document>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w10="urn:schemas-microsoft-com:office:word" xmlns:v="urn:schemas-microsoft-com:vml"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