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textAlignment w:val="baseline"/>
      </w:pPr>
    </w:p>
    <w:p>
      <w:pPr>
        <w:keepNext w:val="0"/>
        <w:keepLines w:val="0"/>
        <w:pageBreakBefore w:val="0"/>
        <w:widowControl/>
        <w:kinsoku w:val="0"/>
        <w:wordWrap/>
        <w:overflowPunct/>
        <w:topLinePunct w:val="0"/>
        <w:autoSpaceDE w:val="0"/>
        <w:autoSpaceDN w:val="0"/>
        <w:bidi w:val="0"/>
        <w:adjustRightInd w:val="0"/>
        <w:snapToGrid/>
        <w:textAlignment w:val="baseline"/>
      </w:pPr>
    </w:p>
    <w:p>
      <w:pPr>
        <w:keepNext w:val="0"/>
        <w:keepLines w:val="0"/>
        <w:pageBreakBefore w:val="0"/>
        <w:widowControl/>
        <w:kinsoku w:val="0"/>
        <w:wordWrap/>
        <w:overflowPunct/>
        <w:topLinePunct w:val="0"/>
        <w:autoSpaceDE w:val="0"/>
        <w:autoSpaceDN w:val="0"/>
        <w:bidi w:val="0"/>
        <w:adjustRightInd w:val="0"/>
        <w:snapToGrid/>
        <w:textAlignment w:val="baseline"/>
      </w:pPr>
    </w:p>
    <w:p>
      <w:pPr>
        <w:keepNext w:val="0"/>
        <w:keepLines w:val="0"/>
        <w:pageBreakBefore w:val="0"/>
        <w:widowControl/>
        <w:kinsoku w:val="0"/>
        <w:wordWrap/>
        <w:overflowPunct/>
        <w:topLinePunct w:val="0"/>
        <w:autoSpaceDE w:val="0"/>
        <w:autoSpaceDN w:val="0"/>
        <w:bidi w:val="0"/>
        <w:adjustRightInd w:val="0"/>
        <w:snapToGrid/>
        <w:textAlignment w:val="baseline"/>
      </w:pPr>
    </w:p>
    <w:p>
      <w:pPr>
        <w:keepNext w:val="0"/>
        <w:keepLines w:val="0"/>
        <w:pageBreakBefore w:val="0"/>
        <w:widowControl w:val="0"/>
        <w:kinsoku/>
        <w:wordWrap/>
        <w:overflowPunct/>
        <w:topLinePunct w:val="0"/>
        <w:autoSpaceDE/>
        <w:autoSpaceDN/>
        <w:bidi w:val="0"/>
        <w:adjustRightInd w:val="0"/>
        <w:snapToGrid/>
        <w:spacing w:line="240" w:lineRule="auto"/>
        <w:ind w:left="0" w:leftChars="0" w:firstLine="0" w:firstLineChars="0"/>
        <w:jc w:val="center"/>
        <w:textAlignment w:val="baseline"/>
        <w:rPr>
          <w:rFonts w:hint="default" w:ascii="Times New Roman" w:hAnsi="Times New Roman" w:eastAsia="方正小标宋简体" w:cs="Times New Roman"/>
          <w:spacing w:val="0"/>
          <w:sz w:val="52"/>
          <w:szCs w:val="52"/>
        </w:rPr>
      </w:pPr>
      <w:r>
        <w:rPr>
          <w:rFonts w:hint="default" w:ascii="Times New Roman" w:hAnsi="Times New Roman" w:eastAsia="方正小标宋简体" w:cs="Times New Roman"/>
          <w:spacing w:val="0"/>
          <w:sz w:val="52"/>
          <w:szCs w:val="52"/>
          <w:lang w:eastAsia="zh-CN"/>
        </w:rPr>
        <w:t>2025年自治区药品监管专项</w:t>
      </w:r>
      <w:r>
        <w:rPr>
          <w:rFonts w:hint="default" w:ascii="Times New Roman" w:hAnsi="Times New Roman" w:eastAsia="方正小标宋简体" w:cs="Times New Roman"/>
          <w:spacing w:val="0"/>
          <w:sz w:val="52"/>
          <w:szCs w:val="52"/>
        </w:rPr>
        <w:t>项目支出绩效评价报告</w:t>
      </w:r>
    </w:p>
    <w:p>
      <w:pPr>
        <w:pStyle w:val="2"/>
        <w:spacing w:line="429" w:lineRule="auto"/>
      </w:pPr>
    </w:p>
    <w:p>
      <w:pPr>
        <w:keepNext w:val="0"/>
        <w:keepLines w:val="0"/>
        <w:pageBreakBefore w:val="0"/>
        <w:widowControl w:val="0"/>
        <w:kinsoku/>
        <w:wordWrap/>
        <w:overflowPunct/>
        <w:topLinePunct w:val="0"/>
        <w:autoSpaceDE/>
        <w:autoSpaceDN/>
        <w:bidi w:val="0"/>
        <w:adjustRightInd w:val="0"/>
        <w:snapToGrid/>
        <w:spacing w:line="240" w:lineRule="auto"/>
        <w:ind w:left="0"/>
        <w:jc w:val="center"/>
        <w:textAlignment w:val="baseline"/>
        <w:rPr>
          <w:rFonts w:ascii="Times New Roman" w:hAnsi="Times New Roman" w:eastAsia="楷体_GB2312" w:cs="Times New Roman"/>
          <w:spacing w:val="0"/>
          <w:sz w:val="36"/>
          <w:szCs w:val="36"/>
        </w:rPr>
      </w:pPr>
      <w:r>
        <w:rPr>
          <w:rFonts w:ascii="Times New Roman" w:hAnsi="Times New Roman" w:eastAsia="楷体_GB2312" w:cs="Times New Roman"/>
          <w:spacing w:val="0"/>
          <w:sz w:val="36"/>
          <w:szCs w:val="36"/>
        </w:rPr>
        <w:t>（202</w:t>
      </w:r>
      <w:r>
        <w:rPr>
          <w:rFonts w:hint="eastAsia" w:ascii="Times New Roman" w:hAnsi="Times New Roman" w:eastAsia="楷体_GB2312" w:cs="Times New Roman"/>
          <w:spacing w:val="0"/>
          <w:sz w:val="36"/>
          <w:szCs w:val="36"/>
          <w:lang w:val="en-US" w:eastAsia="zh-CN"/>
        </w:rPr>
        <w:t>5</w:t>
      </w:r>
      <w:r>
        <w:rPr>
          <w:rFonts w:ascii="Times New Roman" w:hAnsi="Times New Roman" w:eastAsia="楷体_GB2312" w:cs="Times New Roman"/>
          <w:spacing w:val="0"/>
          <w:sz w:val="36"/>
          <w:szCs w:val="36"/>
        </w:rPr>
        <w:t>年度）</w:t>
      </w:r>
    </w:p>
    <w:p>
      <w:pPr>
        <w:pStyle w:val="2"/>
        <w:spacing w:line="248" w:lineRule="auto"/>
      </w:pPr>
    </w:p>
    <w:p>
      <w:pPr>
        <w:keepNext w:val="0"/>
        <w:keepLines w:val="0"/>
        <w:pageBreakBefore w:val="0"/>
        <w:widowControl/>
        <w:kinsoku w:val="0"/>
        <w:wordWrap/>
        <w:overflowPunct/>
        <w:topLinePunct w:val="0"/>
        <w:autoSpaceDE w:val="0"/>
        <w:autoSpaceDN w:val="0"/>
        <w:bidi w:val="0"/>
        <w:adjustRightInd w:val="0"/>
        <w:snapToGrid/>
        <w:ind w:firstLine="632" w:firstLineChars="200"/>
        <w:jc w:val="both"/>
        <w:textAlignment w:val="baseline"/>
      </w:pPr>
    </w:p>
    <w:p>
      <w:pPr>
        <w:keepNext w:val="0"/>
        <w:keepLines w:val="0"/>
        <w:pageBreakBefore w:val="0"/>
        <w:widowControl/>
        <w:kinsoku w:val="0"/>
        <w:wordWrap/>
        <w:overflowPunct/>
        <w:topLinePunct w:val="0"/>
        <w:autoSpaceDE w:val="0"/>
        <w:autoSpaceDN w:val="0"/>
        <w:bidi w:val="0"/>
        <w:adjustRightInd w:val="0"/>
        <w:snapToGrid/>
        <w:ind w:firstLine="632" w:firstLineChars="200"/>
        <w:jc w:val="both"/>
        <w:textAlignment w:val="baseline"/>
      </w:pPr>
    </w:p>
    <w:p>
      <w:pPr>
        <w:keepNext w:val="0"/>
        <w:keepLines w:val="0"/>
        <w:pageBreakBefore w:val="0"/>
        <w:widowControl/>
        <w:kinsoku w:val="0"/>
        <w:wordWrap/>
        <w:overflowPunct/>
        <w:topLinePunct w:val="0"/>
        <w:autoSpaceDE w:val="0"/>
        <w:autoSpaceDN w:val="0"/>
        <w:bidi w:val="0"/>
        <w:adjustRightInd w:val="0"/>
        <w:snapToGrid/>
        <w:ind w:firstLine="632" w:firstLineChars="200"/>
        <w:jc w:val="both"/>
        <w:textAlignment w:val="baseline"/>
      </w:pPr>
    </w:p>
    <w:p>
      <w:pPr>
        <w:keepNext w:val="0"/>
        <w:keepLines w:val="0"/>
        <w:pageBreakBefore w:val="0"/>
        <w:widowControl/>
        <w:kinsoku w:val="0"/>
        <w:wordWrap/>
        <w:overflowPunct/>
        <w:topLinePunct w:val="0"/>
        <w:autoSpaceDE w:val="0"/>
        <w:autoSpaceDN w:val="0"/>
        <w:bidi w:val="0"/>
        <w:adjustRightInd w:val="0"/>
        <w:snapToGrid/>
        <w:ind w:firstLine="632" w:firstLineChars="200"/>
        <w:jc w:val="both"/>
        <w:textAlignment w:val="baseline"/>
      </w:pPr>
    </w:p>
    <w:p>
      <w:pPr>
        <w:keepNext w:val="0"/>
        <w:keepLines w:val="0"/>
        <w:pageBreakBefore w:val="0"/>
        <w:widowControl/>
        <w:kinsoku w:val="0"/>
        <w:wordWrap/>
        <w:overflowPunct/>
        <w:topLinePunct w:val="0"/>
        <w:autoSpaceDE w:val="0"/>
        <w:autoSpaceDN w:val="0"/>
        <w:bidi w:val="0"/>
        <w:adjustRightInd w:val="0"/>
        <w:snapToGrid/>
        <w:ind w:firstLine="632" w:firstLineChars="200"/>
        <w:jc w:val="both"/>
        <w:textAlignment w:val="baseline"/>
      </w:pP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r>
        <w:rPr>
          <w:rFonts w:hint="eastAsia"/>
          <w:lang w:eastAsia="zh-CN"/>
        </w:rPr>
        <w:t>部门单位名称</w:t>
      </w:r>
      <w:r>
        <w:t>（公章）：</w:t>
      </w:r>
      <w:r>
        <w:rPr>
          <w:rFonts w:hint="eastAsia"/>
          <w:lang w:eastAsia="zh-CN"/>
        </w:rPr>
        <w:t>新疆维吾尔自治区药品监督管理局</w:t>
      </w:r>
    </w:p>
    <w:p>
      <w:pPr>
        <w:keepNext w:val="0"/>
        <w:keepLines w:val="0"/>
        <w:pageBreakBefore w:val="0"/>
        <w:widowControl w:val="0"/>
        <w:kinsoku/>
        <w:wordWrap/>
        <w:overflowPunct/>
        <w:topLinePunct w:val="0"/>
        <w:autoSpaceDE/>
        <w:autoSpaceDN/>
        <w:bidi w:val="0"/>
        <w:adjustRightInd w:val="0"/>
        <w:snapToGrid/>
        <w:ind w:firstLine="316" w:firstLineChars="100"/>
        <w:jc w:val="both"/>
        <w:textAlignment w:val="baseline"/>
      </w:pPr>
      <w:r>
        <w:t>填报时间：202</w:t>
      </w:r>
      <w:r>
        <w:rPr>
          <w:rFonts w:hint="eastAsia"/>
          <w:lang w:val="en-US" w:eastAsia="zh-CN"/>
        </w:rPr>
        <w:t>6</w:t>
      </w:r>
      <w:r>
        <w:t>年</w:t>
      </w:r>
      <w:r>
        <w:rPr>
          <w:rFonts w:hint="eastAsia"/>
          <w:lang w:val="en-US" w:eastAsia="zh-CN"/>
        </w:rPr>
        <w:t>4</w:t>
      </w:r>
      <w:r>
        <w:t>月</w:t>
      </w:r>
      <w:r>
        <w:rPr>
          <w:rFonts w:hint="eastAsia"/>
          <w:lang w:val="en-US" w:eastAsia="zh-CN"/>
        </w:rPr>
        <w:t>12</w:t>
      </w:r>
      <w:r>
        <w:t>日</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sectPr>
          <w:pgSz w:w="11906" w:h="16839"/>
          <w:pgMar w:top="2098" w:right="1531" w:bottom="1984" w:left="1531" w:header="0" w:footer="1531" w:gutter="0"/>
          <w:cols w:space="0" w:num="1"/>
          <w:rtlGutter w:val="0"/>
          <w:docGrid w:type="linesAndChars" w:linePitch="579" w:charSpace="-849"/>
        </w:sectPr>
      </w:pP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eastAsia="黑体"/>
        </w:rPr>
      </w:pPr>
      <w:r>
        <w:rPr>
          <w:rFonts w:eastAsia="黑体"/>
        </w:rPr>
        <w:t>一、基本情况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eastAsia="楷体_GB2312"/>
        </w:rPr>
      </w:pPr>
      <w:r>
        <w:rPr>
          <w:rFonts w:eastAsia="楷体_GB2312"/>
        </w:rPr>
        <w:t>（一）项目概况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项目背景</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lang w:eastAsia="zh-CN"/>
        </w:rPr>
      </w:pPr>
      <w:r>
        <w:rPr>
          <w:rFonts w:hint="eastAsia"/>
          <w:lang w:eastAsia="zh-CN"/>
        </w:rPr>
        <w:t>按照《国家药监局关于印发2024年国家药品抽检计划的通知》（国药监药管〔2024〕1号）文件精神，结合全区药品监管工作实际，确定本项目中药品生产企业和经营企业监督检查家次。</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lang w:eastAsia="zh-CN"/>
        </w:rPr>
      </w:pPr>
      <w:r>
        <w:rPr>
          <w:rFonts w:hint="eastAsia"/>
          <w:lang w:eastAsia="zh-CN"/>
        </w:rPr>
        <w:t>其一，为加强医疗器械质量监管，及时发现医疗器械潜在风险隐患，根据《医疗器械监督管理条例》《医疗器械质量抽查检验管理办法》《国家医疗器械质量抽查检验工作程序》等要求，结合全区医疗器械监管工作实际，确定本项目中医疗器械生产、经营企业监督检查家次。</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lang w:eastAsia="zh-CN"/>
        </w:rPr>
      </w:pPr>
      <w:r>
        <w:rPr>
          <w:rFonts w:hint="eastAsia"/>
          <w:lang w:eastAsia="zh-CN"/>
        </w:rPr>
        <w:t>其二，为贯彻执行《化妆品监督管理条例》《化妆品抽样检验管理办法》等法规、规章，科学规范做好202</w:t>
      </w:r>
      <w:r>
        <w:rPr>
          <w:rFonts w:hint="eastAsia"/>
          <w:lang w:val="en-US" w:eastAsia="zh-CN"/>
        </w:rPr>
        <w:t>5</w:t>
      </w:r>
      <w:r>
        <w:rPr>
          <w:rFonts w:hint="eastAsia"/>
          <w:lang w:eastAsia="zh-CN"/>
        </w:rPr>
        <w:t>年自治区化妆品抽样检验工作，结合我局化妆品抽检工作方案，确定本项目化妆品生产企业监督检查家次。</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项目主要内容及实施情况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rPr>
      </w:pPr>
      <w:r>
        <w:t>项目主要内容：</w:t>
      </w:r>
      <w:r>
        <w:rPr>
          <w:rFonts w:hint="eastAsia"/>
        </w:rPr>
        <w:t>通过开展药品、医疗器械和化妆品监管工作，确保减少假冒伪劣“两品一械”制售行为，降低“两品一械”假冒伪劣制售率，坚决守住全区不发生重大药品安全事故；举办“两品一械”安全宣传活动，提升公众掌握“两品一械”科普知识水平。</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lang w:val="en-US" w:eastAsia="en-US"/>
        </w:rPr>
      </w:pPr>
      <w:r>
        <w:t>项目实施情况：</w:t>
      </w:r>
      <w:r>
        <w:rPr>
          <w:rFonts w:hint="eastAsia"/>
          <w:lang w:val="en-US" w:eastAsia="en-US"/>
        </w:rPr>
        <w:t>化妆品监督抽检完成50批次，“两品一械”安全宣传活动举办1次，化妆品监管覆盖率达到90%、监督检查完成率达到100%，公众对药品安全满意度达到95.65分。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资金投入和使用情况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（1）资金投入情况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该项目年初预算数</w:t>
      </w:r>
      <w:r>
        <w:rPr>
          <w:rFonts w:hint="eastAsia"/>
          <w:lang w:eastAsia="zh-CN"/>
        </w:rPr>
        <w:t>220.00</w:t>
      </w:r>
      <w:r>
        <w:t>万元，全年预算数</w:t>
      </w:r>
      <w:r>
        <w:rPr>
          <w:rFonts w:hint="eastAsia"/>
          <w:lang w:eastAsia="zh-CN"/>
        </w:rPr>
        <w:t>220.00</w:t>
      </w:r>
      <w:r>
        <w:t>万元，该项目资金已全部落实到位，资金来源为财政拨款。</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（2）资金使用情况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该项目年初预算数</w:t>
      </w:r>
      <w:r>
        <w:rPr>
          <w:rFonts w:hint="eastAsia"/>
          <w:lang w:eastAsia="zh-CN"/>
        </w:rPr>
        <w:t>220.00</w:t>
      </w:r>
      <w:r>
        <w:t>万元，全年预算数</w:t>
      </w:r>
      <w:r>
        <w:rPr>
          <w:rFonts w:hint="eastAsia"/>
          <w:lang w:eastAsia="zh-CN"/>
        </w:rPr>
        <w:t>220.00</w:t>
      </w:r>
      <w:r>
        <w:t>万元，全年执行数</w:t>
      </w:r>
      <w:r>
        <w:rPr>
          <w:rFonts w:hint="eastAsia"/>
          <w:lang w:eastAsia="zh-CN"/>
        </w:rPr>
        <w:t>220.00</w:t>
      </w:r>
      <w:r>
        <w:t>万元，预算执行率为</w:t>
      </w:r>
      <w:r>
        <w:rPr>
          <w:rFonts w:hint="eastAsia"/>
          <w:lang w:eastAsia="zh-CN"/>
        </w:rPr>
        <w:t>100%</w:t>
      </w:r>
      <w:r>
        <w:t>，主要用于：</w:t>
      </w:r>
      <w:r>
        <w:rPr>
          <w:rFonts w:hint="eastAsia"/>
        </w:rPr>
        <w:t>支付项目实施进程中的各项费用。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（二）项目绩效目标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总体目标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rPr>
      </w:pPr>
      <w:r>
        <w:rPr>
          <w:rFonts w:hint="eastAsia"/>
        </w:rPr>
        <w:t>通过开展药品、医疗器械和化妆品监管工作，确保减少假冒伪劣“两品一械”制售行为，降低“两品一械”假冒伪劣制售率，坚决守住全区不发生重大药品安全事故；举办“两品一械”安全宣传活动，提升公众掌握“两品一械”科普知识水平。</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阶段性目标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rPr>
      </w:pPr>
      <w:r>
        <w:rPr>
          <w:rFonts w:hint="eastAsia"/>
        </w:rPr>
        <w:t>（1）前期准备：通过制定项目实施方案，经项目负责人审核通过后，有序开展后续工作。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hint="eastAsia"/>
        </w:rPr>
      </w:pPr>
      <w:r>
        <w:rPr>
          <w:rFonts w:hint="eastAsia"/>
        </w:rPr>
        <w:t>（2）组织实施：资金一到位，立即根据项目要求实施项目。项目责任人按照项目实施方案要求逐一进行项目部署安排，提高项目质量及效率性。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二、绩效评价工作开展情况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（一）绩效评价目的、对象和范围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绩效评价完整性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本项目预算绩效评价报告在编制过程中，严格遵循相关法规与标准，确保评价内容的全面性与准确性。报告涵盖了项目从预算编制、执行到完成的全过程，对项目的各项绩效指标进行了细致的梳理与评估。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绩效评价的目的</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（1）评估项目实施效果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通过对项目预算执行情况及各项绩效目标达成程度的系统性分析，全面、客观地评估项目在预定周期内的实施效果，包括经济效益、社会效益等多维度指标，为项目后续的改进与优化提供科学依据。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（2）提升资源利用效率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（3）强化项目管理责任</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（4）为决策提供支持</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（5）促进项目持续改进</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绩效评价的对象</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本项目预算绩效评价报告的评价对象是</w:t>
      </w:r>
      <w:r>
        <w:rPr>
          <w:rFonts w:hint="eastAsia"/>
          <w:lang w:eastAsia="zh-CN"/>
        </w:rPr>
        <w:t>2025年自治区药品监管专项</w:t>
      </w:r>
      <w:r>
        <w:t>及其预算执行情况。该项目由</w:t>
      </w:r>
      <w:r>
        <w:rPr>
          <w:rFonts w:hint="eastAsia"/>
          <w:lang w:eastAsia="zh-CN"/>
        </w:rPr>
        <w:t>新疆维吾尔自治区药品监督管理局</w:t>
      </w:r>
      <w:r>
        <w:t>负责实施，旨在根据主要职能，</w:t>
      </w:r>
      <w:r>
        <w:rPr>
          <w:rFonts w:hint="eastAsia"/>
        </w:rPr>
        <w:t>紧紧围绕社会稳定和长治久安总目标，以提高药品安全水平为核心，加强基层基础建设，推进体制机制改革，创新监管方式方法，以“四个最严”保障药品安全；保证相关药品医疗器械化妆品监管执法工作依法开展，最大程度消除“两品一械”生产经营环节的安全隐患，保障公众身体健康与生命安全；持续加强“两品一械”企业监管力度；通过加强培训，提高监管人员专业水平和综合素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绩效评价的范围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本项目预算绩效评价报告的评价范围广泛而全面，涵盖了从项目立项至评价时点期间的所有关键预算活动和财务流程。具体而言，评价范围包括但不限于以下几个方面：</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（1）项目预算编制与执行：全面审视项目预算的编制依据、合理性、科学性以及实际执行情况，包括预算调整的原因和效果。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（2）资金管理：深入分析项目资金的分配、使用和监管情况，确保资金使用的合规性、高效性和透明度。</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（3）项目实施进度与产出：评估项目是否按照既定计划顺利推进，各项任务是否按时完成，以及项目产出的数量、质量和时效性是否符合预期。</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（4）社会影响：考察项目对社会、经济等方面的综合影响。</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（二）绩效评价原则、评价指标体系（详情见表1）、评价方法、评价标准。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绩效评价原则</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本次项目绩效评价遵循以下基本原则：</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（4）公开透明。绩效评价结果应依法依规公开，并自觉接受社会监督。</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评价指标体系</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绩效评价框架是开展绩效评价的核心。绩效评价框架包括评价准则、关键评价问题、评价指标、数据来源、数据收集方法等。指标体系建立过程如下：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（1）确定评价指标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（2）确定权重</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（3）确定指标标准值</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绩效评价总分值100分，根据综合评分结果，90（含）</w:t>
      </w:r>
      <w:r>
        <w:rPr>
          <w:rFonts w:hint="eastAsia"/>
          <w:lang w:eastAsia="zh-CN"/>
        </w:rPr>
        <w:t>—</w:t>
      </w:r>
      <w:r>
        <w:t>100分为优、80（含）</w:t>
      </w:r>
      <w:r>
        <w:rPr>
          <w:rFonts w:hint="eastAsia"/>
          <w:lang w:eastAsia="zh-CN"/>
        </w:rPr>
        <w:t>—</w:t>
      </w:r>
      <w:r>
        <w:t>90分为良、60（含）</w:t>
      </w:r>
      <w:r>
        <w:rPr>
          <w:rFonts w:hint="eastAsia"/>
          <w:lang w:eastAsia="zh-CN"/>
        </w:rPr>
        <w:t>—</w:t>
      </w:r>
      <w:r>
        <w:t>80分为中、60分以下为差。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具体评价指标体系详情见附件1</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绩效评价方法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绩效评价从项目决策、项目过程、项目产出、项目效益四个维度进行评价。评价对象为项目目标实施情况，评价核心为资金的支出完成情况和项目的产出效益。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1</w:t>
      </w:r>
      <w:r>
        <w:t>）成本效益分析法。是指将投入与产出、效益进行关联性分析的方法。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2</w:t>
      </w:r>
      <w:r>
        <w:t>）比较法。是指将实施情况与绩效目标、历史情况、不同部门和地区同类支出情况进行比较的方法。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3</w:t>
      </w:r>
      <w:r>
        <w:t>）因素分析法。是指综合分析影响绩效目标实现、实施效果的内外部因素的方法。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4</w:t>
      </w:r>
      <w:r>
        <w:t>）最低成本法。是指在绩效目标确定的前提下，成本最小者为优的方法。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5</w:t>
      </w:r>
      <w:r>
        <w:t>）公众评判法。是指通过专家评估、公众问卷及抽样调查等方式进行评判的方法。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6</w:t>
      </w:r>
      <w:r>
        <w:t>）标杆管理法。是指以国内外同行业中较高的绩效水平为标杆进行评判的方法。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w:t>
      </w:r>
      <w:r>
        <w:rPr>
          <w:rFonts w:hint="eastAsia"/>
          <w:lang w:val="en-US" w:eastAsia="zh-CN"/>
        </w:rPr>
        <w:t>7</w:t>
      </w:r>
      <w:r>
        <w:t>）其他评价方法。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绩效评价标准通常包括计划标准、行业标准、历史标准等，用于对绩效指标完成情况进行比较、分析、评价。本次评价主要采用了计划标准、历史标准。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（4）财政部门和预算部门确认或认可的其他标准。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（三）绩效评价工作过程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前期准备与规划</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指标体系构建</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数据收集与整理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数据分析与评估</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5</w:t>
      </w:r>
      <w:r>
        <w:rPr>
          <w:rFonts w:hint="eastAsia"/>
          <w:lang w:eastAsia="zh-CN"/>
        </w:rPr>
        <w:t>．</w:t>
      </w:r>
      <w:r>
        <w:t>报告撰写与反馈</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6</w:t>
      </w:r>
      <w:r>
        <w:rPr>
          <w:rFonts w:hint="eastAsia"/>
          <w:lang w:eastAsia="zh-CN"/>
        </w:rPr>
        <w:t>．</w:t>
      </w:r>
      <w:r>
        <w:t>后续跟踪与改进</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三、综合评价情况及评价结论（附相关评分表）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（一）评价情况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本项目的综合评价基于对项目各方面绩效的深入分析与评估。从项目目标的达成情况来看，</w:t>
      </w:r>
      <w:r>
        <w:rPr>
          <w:rFonts w:hint="eastAsia"/>
          <w:lang w:eastAsia="zh-CN"/>
        </w:rPr>
        <w:t>2025年自治区药品监管专项</w:t>
      </w:r>
      <w:r>
        <w:t>在</w:t>
      </w:r>
      <w:r>
        <w:rPr>
          <w:rFonts w:hint="eastAsia"/>
        </w:rPr>
        <w:t>，确保减少假冒伪劣“两品一械”制售行为，降低“两品一械”假冒伪劣制售率，坚决守住全区不发生重大药品安全事故；举办“两品一械”安全宣传活动，提升公众掌握“两品一械”科普知识水平</w:t>
      </w:r>
      <w:r>
        <w:t>。</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项目管理方面，我院通过有效的规划、组织与协调，项目得以顺利实施，并在预算与时间上保持了良好的控制。从项目效益的角度来看，本项目不仅实现了预期的社会效益等方面产生了积极的影响。具体而言，保障公众用药安全等方面的提升，为项目的利益相关者带来了实实在在的利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w:t>
      </w:r>
      <w:r>
        <w:rPr>
          <w:rFonts w:hint="eastAsia"/>
          <w:lang w:eastAsia="zh-CN"/>
        </w:rPr>
        <w:t>2025年自治区药品监管专项</w:t>
      </w:r>
      <w:r>
        <w:t>在绩效评价中表现出色，达到了项目的预期目标，并在多个方面取得了显著的成效。</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（二）评价结论</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lang w:eastAsia="zh-CN"/>
        </w:rPr>
        <w:t>100</w:t>
      </w:r>
      <w:r>
        <w:t>分，属于“优”。其中，项目决策类指标权重为20分，得分为20分，得分率为100%。项目过程类指标权重为20分，得分为</w:t>
      </w:r>
      <w:r>
        <w:rPr>
          <w:rFonts w:hint="eastAsia"/>
          <w:lang w:val="en-US" w:eastAsia="zh-CN"/>
        </w:rPr>
        <w:t>20</w:t>
      </w:r>
      <w:r>
        <w:t>分，得分率为</w:t>
      </w:r>
      <w:r>
        <w:rPr>
          <w:rFonts w:hint="eastAsia"/>
          <w:lang w:eastAsia="zh-CN"/>
        </w:rPr>
        <w:t>100</w:t>
      </w:r>
      <w:r>
        <w:rPr>
          <w:rFonts w:hint="eastAsia"/>
        </w:rPr>
        <w:t>%</w:t>
      </w:r>
      <w:r>
        <w:t>。项目产出类指标权重为40分，得分为40分，得分率为100%。项目效益类指标权重为20分，得分为20分，得分率为100%。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具体打分情况详见：附件1综合评分表。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表1综合评分表</w:t>
      </w:r>
    </w:p>
    <w:p>
      <w:pPr>
        <w:spacing w:line="121" w:lineRule="auto"/>
        <w:rPr>
          <w:rFonts w:ascii="Arial"/>
          <w:sz w:val="2"/>
        </w:rPr>
      </w:pPr>
    </w:p>
    <w:tbl>
      <w:tblPr>
        <w:tblStyle w:val="7"/>
        <w:tblW w:w="75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40"/>
        <w:gridCol w:w="2166"/>
        <w:gridCol w:w="228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140" w:type="dxa"/>
            <w:shd w:val="clear" w:color="auto" w:fill="auto"/>
            <w:vAlign w:val="center"/>
          </w:tcPr>
          <w:p>
            <w:pPr>
              <w:jc w:val="center"/>
              <w:rPr>
                <w:rFonts w:eastAsia="黑体"/>
                <w:sz w:val="24"/>
                <w:szCs w:val="24"/>
              </w:rPr>
            </w:pPr>
            <w:r>
              <w:rPr>
                <w:rFonts w:eastAsia="黑体"/>
                <w:sz w:val="24"/>
                <w:szCs w:val="24"/>
              </w:rPr>
              <w:t>一级指标</w:t>
            </w:r>
          </w:p>
        </w:tc>
        <w:tc>
          <w:tcPr>
            <w:tcW w:w="2166" w:type="dxa"/>
            <w:shd w:val="clear" w:color="auto" w:fill="auto"/>
            <w:vAlign w:val="center"/>
          </w:tcPr>
          <w:p>
            <w:pPr>
              <w:jc w:val="center"/>
              <w:rPr>
                <w:rFonts w:eastAsia="黑体"/>
                <w:sz w:val="24"/>
                <w:szCs w:val="24"/>
              </w:rPr>
            </w:pPr>
            <w:r>
              <w:rPr>
                <w:rFonts w:eastAsia="黑体"/>
                <w:sz w:val="24"/>
                <w:szCs w:val="24"/>
              </w:rPr>
              <w:t>权重分</w:t>
            </w:r>
          </w:p>
        </w:tc>
        <w:tc>
          <w:tcPr>
            <w:tcW w:w="2281" w:type="dxa"/>
            <w:shd w:val="clear" w:color="auto" w:fill="auto"/>
            <w:vAlign w:val="center"/>
          </w:tcPr>
          <w:p>
            <w:pPr>
              <w:jc w:val="center"/>
              <w:rPr>
                <w:rFonts w:eastAsia="黑体"/>
                <w:sz w:val="24"/>
                <w:szCs w:val="24"/>
              </w:rPr>
            </w:pPr>
            <w:r>
              <w:rPr>
                <w:rFonts w:eastAsia="黑体"/>
                <w:sz w:val="24"/>
                <w:szCs w:val="24"/>
              </w:rPr>
              <w:t>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140" w:type="dxa"/>
            <w:vAlign w:val="center"/>
          </w:tcPr>
          <w:p>
            <w:pPr>
              <w:jc w:val="center"/>
              <w:rPr>
                <w:sz w:val="24"/>
                <w:szCs w:val="24"/>
              </w:rPr>
            </w:pPr>
            <w:r>
              <w:rPr>
                <w:sz w:val="24"/>
                <w:szCs w:val="24"/>
              </w:rPr>
              <w:t>项目决策</w:t>
            </w:r>
          </w:p>
        </w:tc>
        <w:tc>
          <w:tcPr>
            <w:tcW w:w="2166" w:type="dxa"/>
            <w:vAlign w:val="center"/>
          </w:tcPr>
          <w:p>
            <w:pPr>
              <w:jc w:val="center"/>
              <w:rPr>
                <w:sz w:val="24"/>
                <w:szCs w:val="24"/>
              </w:rPr>
            </w:pPr>
            <w:r>
              <w:rPr>
                <w:sz w:val="24"/>
                <w:szCs w:val="24"/>
              </w:rPr>
              <w:t>20</w:t>
            </w:r>
          </w:p>
        </w:tc>
        <w:tc>
          <w:tcPr>
            <w:tcW w:w="2281" w:type="dxa"/>
            <w:vAlign w:val="center"/>
          </w:tcPr>
          <w:p>
            <w:pPr>
              <w:jc w:val="center"/>
              <w:rPr>
                <w:sz w:val="24"/>
                <w:szCs w:val="24"/>
              </w:rPr>
            </w:pPr>
            <w:r>
              <w:rPr>
                <w:sz w:val="24"/>
                <w:szCs w:val="24"/>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140" w:type="dxa"/>
            <w:vAlign w:val="center"/>
          </w:tcPr>
          <w:p>
            <w:pPr>
              <w:jc w:val="center"/>
              <w:rPr>
                <w:sz w:val="24"/>
                <w:szCs w:val="24"/>
              </w:rPr>
            </w:pPr>
            <w:r>
              <w:rPr>
                <w:sz w:val="24"/>
                <w:szCs w:val="24"/>
              </w:rPr>
              <w:t>项目过程</w:t>
            </w:r>
          </w:p>
        </w:tc>
        <w:tc>
          <w:tcPr>
            <w:tcW w:w="2166" w:type="dxa"/>
            <w:vAlign w:val="center"/>
          </w:tcPr>
          <w:p>
            <w:pPr>
              <w:jc w:val="center"/>
              <w:rPr>
                <w:sz w:val="24"/>
                <w:szCs w:val="24"/>
              </w:rPr>
            </w:pPr>
            <w:r>
              <w:rPr>
                <w:sz w:val="24"/>
                <w:szCs w:val="24"/>
              </w:rPr>
              <w:t>20</w:t>
            </w:r>
          </w:p>
        </w:tc>
        <w:tc>
          <w:tcPr>
            <w:tcW w:w="2281" w:type="dxa"/>
            <w:vAlign w:val="center"/>
          </w:tcPr>
          <w:p>
            <w:pPr>
              <w:jc w:val="center"/>
              <w:rPr>
                <w:rFonts w:hint="eastAsia"/>
                <w:sz w:val="24"/>
                <w:szCs w:val="24"/>
                <w:lang w:eastAsia="zh-CN"/>
              </w:rPr>
            </w:pPr>
            <w:r>
              <w:rPr>
                <w:rFonts w:hint="eastAsia"/>
                <w:sz w:val="24"/>
                <w:szCs w:val="24"/>
                <w:lang w:val="en-US" w:eastAsia="zh-CN"/>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140" w:type="dxa"/>
            <w:vAlign w:val="center"/>
          </w:tcPr>
          <w:p>
            <w:pPr>
              <w:jc w:val="center"/>
              <w:rPr>
                <w:sz w:val="24"/>
                <w:szCs w:val="24"/>
              </w:rPr>
            </w:pPr>
            <w:r>
              <w:rPr>
                <w:sz w:val="24"/>
                <w:szCs w:val="24"/>
              </w:rPr>
              <w:t>项目产出</w:t>
            </w:r>
          </w:p>
        </w:tc>
        <w:tc>
          <w:tcPr>
            <w:tcW w:w="2166" w:type="dxa"/>
            <w:vAlign w:val="center"/>
          </w:tcPr>
          <w:p>
            <w:pPr>
              <w:jc w:val="center"/>
              <w:rPr>
                <w:sz w:val="24"/>
                <w:szCs w:val="24"/>
              </w:rPr>
            </w:pPr>
            <w:r>
              <w:rPr>
                <w:sz w:val="24"/>
                <w:szCs w:val="24"/>
              </w:rPr>
              <w:t>40</w:t>
            </w:r>
          </w:p>
        </w:tc>
        <w:tc>
          <w:tcPr>
            <w:tcW w:w="2281" w:type="dxa"/>
            <w:vAlign w:val="center"/>
          </w:tcPr>
          <w:p>
            <w:pPr>
              <w:jc w:val="center"/>
              <w:rPr>
                <w:sz w:val="24"/>
                <w:szCs w:val="24"/>
              </w:rPr>
            </w:pPr>
            <w:r>
              <w:rPr>
                <w:sz w:val="24"/>
                <w:szCs w:val="24"/>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140" w:type="dxa"/>
            <w:vAlign w:val="center"/>
          </w:tcPr>
          <w:p>
            <w:pPr>
              <w:jc w:val="center"/>
              <w:rPr>
                <w:sz w:val="24"/>
                <w:szCs w:val="24"/>
              </w:rPr>
            </w:pPr>
            <w:r>
              <w:rPr>
                <w:sz w:val="24"/>
                <w:szCs w:val="24"/>
              </w:rPr>
              <w:t>项目效益</w:t>
            </w:r>
          </w:p>
        </w:tc>
        <w:tc>
          <w:tcPr>
            <w:tcW w:w="2166" w:type="dxa"/>
            <w:vAlign w:val="center"/>
          </w:tcPr>
          <w:p>
            <w:pPr>
              <w:jc w:val="center"/>
              <w:rPr>
                <w:sz w:val="24"/>
                <w:szCs w:val="24"/>
              </w:rPr>
            </w:pPr>
            <w:r>
              <w:rPr>
                <w:sz w:val="24"/>
                <w:szCs w:val="24"/>
              </w:rPr>
              <w:t>20</w:t>
            </w:r>
          </w:p>
        </w:tc>
        <w:tc>
          <w:tcPr>
            <w:tcW w:w="2281" w:type="dxa"/>
            <w:vAlign w:val="center"/>
          </w:tcPr>
          <w:p>
            <w:pPr>
              <w:jc w:val="center"/>
              <w:rPr>
                <w:sz w:val="24"/>
                <w:szCs w:val="24"/>
              </w:rPr>
            </w:pPr>
            <w:r>
              <w:rPr>
                <w:sz w:val="24"/>
                <w:szCs w:val="24"/>
              </w:rPr>
              <w:t>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7" w:hRule="atLeast"/>
          <w:jc w:val="center"/>
        </w:trPr>
        <w:tc>
          <w:tcPr>
            <w:tcW w:w="3140" w:type="dxa"/>
            <w:vAlign w:val="center"/>
          </w:tcPr>
          <w:p>
            <w:pPr>
              <w:jc w:val="center"/>
              <w:rPr>
                <w:sz w:val="24"/>
                <w:szCs w:val="24"/>
              </w:rPr>
            </w:pPr>
            <w:r>
              <w:rPr>
                <w:sz w:val="24"/>
                <w:szCs w:val="24"/>
              </w:rPr>
              <w:t>合计</w:t>
            </w:r>
          </w:p>
        </w:tc>
        <w:tc>
          <w:tcPr>
            <w:tcW w:w="2166" w:type="dxa"/>
            <w:vAlign w:val="center"/>
          </w:tcPr>
          <w:p>
            <w:pPr>
              <w:jc w:val="center"/>
              <w:rPr>
                <w:sz w:val="24"/>
                <w:szCs w:val="24"/>
              </w:rPr>
            </w:pPr>
            <w:r>
              <w:rPr>
                <w:sz w:val="24"/>
                <w:szCs w:val="24"/>
              </w:rPr>
              <w:t>100</w:t>
            </w:r>
          </w:p>
        </w:tc>
        <w:tc>
          <w:tcPr>
            <w:tcW w:w="2281" w:type="dxa"/>
            <w:vAlign w:val="center"/>
          </w:tcPr>
          <w:p>
            <w:pPr>
              <w:jc w:val="center"/>
              <w:rPr>
                <w:rFonts w:hint="eastAsia"/>
                <w:sz w:val="24"/>
                <w:szCs w:val="24"/>
                <w:lang w:eastAsia="zh-CN"/>
              </w:rPr>
            </w:pPr>
            <w:r>
              <w:rPr>
                <w:rFonts w:hint="eastAsia"/>
                <w:sz w:val="24"/>
                <w:szCs w:val="24"/>
                <w:lang w:val="en-US" w:eastAsia="zh-CN"/>
              </w:rPr>
              <w:t>100</w:t>
            </w:r>
          </w:p>
        </w:tc>
      </w:tr>
    </w:tbl>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四、绩效评价指标分析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（一）项目决策情况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项目决策类指标包括项目立项、绩效目标和资金投入三方面的内容，由6个三级指标构成，权重分值为20分，实际得分20分，得分率为100%。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项目立项</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立项依据充分性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（2）立项程序规范性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绩效目标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（1）绩效目标合理性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eastAsia="zh-CN"/>
        </w:rPr>
        <w:t>（</w:t>
      </w:r>
      <w:r>
        <w:rPr>
          <w:rFonts w:hint="eastAsia"/>
          <w:lang w:val="en-US" w:eastAsia="zh-CN"/>
        </w:rPr>
        <w:t>2</w:t>
      </w:r>
      <w:r>
        <w:rPr>
          <w:rFonts w:hint="eastAsia"/>
          <w:lang w:eastAsia="zh-CN"/>
        </w:rPr>
        <w:t>）</w:t>
      </w:r>
      <w:r>
        <w:t>绩效指标明确性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项目设置了明确的预期产出效益和效果，将绩效目标细化分解为具体的绩效指标，绩效目标与项目目标任务数相对应，绩效目标设定的绩效指标清晰、细化、可衡量。</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资金投入</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（1）预算编制科学性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（2）资金分配合理性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资金分配遵循了公平、公正、透明的原则，确保了项目资源的合理配置与高效利用。在资金分配过程中，我们充分考虑了项目的实际需求与目标，对不同阶段、不同任务的资金进行了科学的规划与安排。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（二）项目过程情况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项目过程类指标包括资金管理和组织实施两方面的内容，由5个三级指标构成，权重分值为20分，实际得分20分，得分率为20%。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资金管理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（1）资金到位率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本项目总投资</w:t>
      </w:r>
      <w:r>
        <w:rPr>
          <w:rFonts w:hint="eastAsia"/>
          <w:lang w:eastAsia="zh-CN"/>
        </w:rPr>
        <w:t>220.00</w:t>
      </w:r>
      <w:r>
        <w:t>万元，财政资金及时足额到位，到位率100%，预算资金按计划进度执行。</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（2）预算执行率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预算编制较为详细，项目资金支出总体能够按照预算执行，预算资金支出</w:t>
      </w:r>
      <w:r>
        <w:rPr>
          <w:rFonts w:hint="eastAsia"/>
          <w:lang w:eastAsia="zh-CN"/>
        </w:rPr>
        <w:t>220.00</w:t>
      </w:r>
      <w:r>
        <w:t>万元，预算执行率为</w:t>
      </w:r>
      <w:r>
        <w:rPr>
          <w:rFonts w:hint="eastAsia"/>
          <w:lang w:eastAsia="zh-CN"/>
        </w:rPr>
        <w:t>100%</w:t>
      </w:r>
      <w:r>
        <w:t>。</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（3）资金使用合规性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组织实施</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（1）管理制度健全性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综上所述，本项目的管理制度是健全的、有效的，既符合项目的实际情况，又满足了项目管理的需要。管理制度的健全性为项目的成功实施提供了有力的保障，也为项目的绩效评价奠定了坚实的基础。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eastAsia="zh-CN"/>
        </w:rPr>
        <w:t>（</w:t>
      </w:r>
      <w:r>
        <w:rPr>
          <w:rFonts w:hint="eastAsia"/>
          <w:lang w:val="en-US" w:eastAsia="zh-CN"/>
        </w:rPr>
        <w:t>2</w:t>
      </w:r>
      <w:r>
        <w:rPr>
          <w:rFonts w:hint="eastAsia"/>
          <w:lang w:eastAsia="zh-CN"/>
        </w:rPr>
        <w:t>）</w:t>
      </w:r>
      <w:r>
        <w:t>制度执行有效性</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（三）项目产出情况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项目产出类指标包括产出数量、产出质量、产出时效、产出成本四方面的内容，由4个三级指标构成，权重分为40分，实际得分40分，得分率为100%。具体产出指标完成情况如下：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val="en-US" w:eastAsia="zh-CN"/>
        </w:rPr>
        <w:t>1</w:t>
      </w:r>
      <w:r>
        <w:rPr>
          <w:rFonts w:hint="eastAsia"/>
          <w:lang w:eastAsia="zh-CN"/>
        </w:rPr>
        <w:t>．</w:t>
      </w:r>
      <w:r>
        <w:t>数量指标：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lang w:eastAsia="zh-CN"/>
        </w:rPr>
        <w:t>化妆品监督抽检批次</w:t>
      </w:r>
      <w:r>
        <w:t>，指标值：</w:t>
      </w:r>
      <w:r>
        <w:rPr>
          <w:rFonts w:hint="eastAsia"/>
        </w:rPr>
        <w:t>=50批</w:t>
      </w:r>
      <w:r>
        <w:t>，实际完成值：</w:t>
      </w:r>
      <w:r>
        <w:rPr>
          <w:rFonts w:hint="eastAsia"/>
        </w:rPr>
        <w:t>50批</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指标2：</w:t>
      </w:r>
      <w:r>
        <w:rPr>
          <w:rFonts w:hint="eastAsia"/>
          <w:lang w:eastAsia="zh-CN"/>
        </w:rPr>
        <w:t>举办“两品一械”安全宣传活动次数</w:t>
      </w:r>
      <w:r>
        <w:t>，指标值：</w:t>
      </w:r>
      <w:r>
        <w:rPr>
          <w:rFonts w:hint="eastAsia"/>
        </w:rPr>
        <w:t>&gt;=1次</w:t>
      </w:r>
      <w:r>
        <w:t>，实际完成值：</w:t>
      </w:r>
      <w:r>
        <w:rPr>
          <w:rFonts w:hint="eastAsia"/>
        </w:rPr>
        <w:t>1次</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指标3：</w:t>
      </w:r>
      <w:r>
        <w:rPr>
          <w:rFonts w:hint="eastAsia"/>
        </w:rPr>
        <w:t>“两品一械”监管出差人次</w:t>
      </w:r>
      <w:r>
        <w:t>，指标值：</w:t>
      </w:r>
      <w:r>
        <w:rPr>
          <w:rFonts w:hint="eastAsia"/>
        </w:rPr>
        <w:t>&gt;=100人次</w:t>
      </w:r>
      <w:r>
        <w:t>，实际完成值：</w:t>
      </w:r>
      <w:r>
        <w:rPr>
          <w:rFonts w:hint="eastAsia"/>
        </w:rPr>
        <w:t>113人次</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val="en-US" w:eastAsia="zh-CN"/>
        </w:rPr>
        <w:t>2</w:t>
      </w:r>
      <w:r>
        <w:rPr>
          <w:rFonts w:hint="eastAsia"/>
          <w:lang w:eastAsia="zh-CN"/>
        </w:rPr>
        <w:t>．</w:t>
      </w:r>
      <w:r>
        <w:t>质量指标：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化妆品监管覆盖率</w:t>
      </w:r>
      <w:r>
        <w:t>，指标值：</w:t>
      </w:r>
      <w:r>
        <w:rPr>
          <w:rFonts w:hint="eastAsia"/>
        </w:rPr>
        <w:t>&gt;=90%</w:t>
      </w:r>
      <w:r>
        <w:t>，实际完成值：9</w:t>
      </w:r>
      <w:r>
        <w:rPr>
          <w:rFonts w:hint="eastAsia"/>
          <w:lang w:val="en-US" w:eastAsia="zh-CN"/>
        </w:rPr>
        <w:t>0</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val="en-US" w:eastAsia="zh-CN"/>
        </w:rPr>
        <w:t>3</w:t>
      </w:r>
      <w:r>
        <w:rPr>
          <w:rFonts w:hint="eastAsia"/>
          <w:lang w:eastAsia="zh-CN"/>
        </w:rPr>
        <w:t>．</w:t>
      </w:r>
      <w:r>
        <w:t>时效指标：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化妆品监督检查完成率</w:t>
      </w:r>
      <w:r>
        <w:t>，指标值：</w:t>
      </w:r>
      <w:r>
        <w:rPr>
          <w:rFonts w:hint="eastAsia"/>
          <w:lang w:val="en-US" w:eastAsia="zh-CN"/>
        </w:rPr>
        <w:t>&gt;=90%</w:t>
      </w:r>
      <w:r>
        <w:t>，实际完成值：</w:t>
      </w:r>
      <w:r>
        <w:rPr>
          <w:rFonts w:hint="eastAsia"/>
          <w:lang w:val="en-US" w:eastAsia="zh-CN"/>
        </w:rPr>
        <w:t>100</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val="en-US" w:eastAsia="zh-CN"/>
        </w:rPr>
        <w:t>4</w:t>
      </w:r>
      <w:r>
        <w:rPr>
          <w:rFonts w:hint="eastAsia"/>
          <w:lang w:eastAsia="zh-CN"/>
        </w:rPr>
        <w:t>．</w:t>
      </w:r>
      <w:r>
        <w:t>成本指标：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监督检查差旅补助</w:t>
      </w:r>
      <w:r>
        <w:t>，指标值：</w:t>
      </w:r>
      <w:r>
        <w:rPr>
          <w:rFonts w:hint="eastAsia"/>
        </w:rPr>
        <w:t>&lt;=200元/天/人</w:t>
      </w:r>
      <w:r>
        <w:t>，实际完成值：</w:t>
      </w:r>
      <w:r>
        <w:rPr>
          <w:rFonts w:hint="eastAsia"/>
          <w:lang w:val="en-US" w:eastAsia="zh-CN"/>
        </w:rPr>
        <w:t>2</w:t>
      </w:r>
      <w:r>
        <w:rPr>
          <w:rFonts w:hint="eastAsia"/>
        </w:rPr>
        <w:t>00元/天/人</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（四）项目效益情况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项目效益类指标包括项目实施效益和满意度两方面的内容，由</w:t>
      </w:r>
      <w:r>
        <w:rPr>
          <w:rFonts w:hint="eastAsia"/>
          <w:lang w:val="en-US" w:eastAsia="zh-CN"/>
        </w:rPr>
        <w:t>2</w:t>
      </w:r>
      <w:r>
        <w:t>个三级指标构成，权重分为20分，实际得分20分，</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得分率为</w:t>
      </w:r>
      <w:r>
        <w:rPr>
          <w:rFonts w:hint="eastAsia"/>
          <w:lang w:val="en-US" w:eastAsia="zh-CN"/>
        </w:rPr>
        <w:tab/>
      </w:r>
      <w:r>
        <w:t>100%。具体效益指标及满意度指标完成情况如下：</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实施效益</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①社会效益指标：</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降低假冒伪劣“两品一械”制售行为</w:t>
      </w:r>
      <w:r>
        <w:t>，指标值：</w:t>
      </w:r>
      <w:r>
        <w:rPr>
          <w:rFonts w:hint="eastAsia"/>
        </w:rPr>
        <w:t>有效减少</w:t>
      </w:r>
      <w:r>
        <w:t>，实际完成值：</w:t>
      </w:r>
      <w:r>
        <w:rPr>
          <w:rFonts w:hint="eastAsia"/>
        </w:rPr>
        <w:t>有效减少</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w:t>
      </w:r>
      <w:r>
        <w:rPr>
          <w:rFonts w:hint="eastAsia"/>
          <w:lang w:val="en-US" w:eastAsia="zh-CN"/>
        </w:rPr>
        <w:t>2</w:t>
      </w:r>
      <w:r>
        <w:t>：</w:t>
      </w:r>
      <w:r>
        <w:rPr>
          <w:rFonts w:hint="eastAsia"/>
        </w:rPr>
        <w:t>提升公众掌握“两品一械”科普知识水平</w:t>
      </w:r>
      <w:r>
        <w:t>，指标值：</w:t>
      </w:r>
      <w:r>
        <w:rPr>
          <w:rFonts w:hint="eastAsia"/>
        </w:rPr>
        <w:t>有效提升</w:t>
      </w:r>
      <w:r>
        <w:t>，实际完成值：</w:t>
      </w:r>
      <w:r>
        <w:rPr>
          <w:rFonts w:hint="eastAsia"/>
        </w:rPr>
        <w:t>有效提升</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满意度</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指标1：</w:t>
      </w:r>
      <w:r>
        <w:rPr>
          <w:rFonts w:hint="eastAsia"/>
        </w:rPr>
        <w:t>公众对药品安全的满意度</w:t>
      </w:r>
      <w:r>
        <w:t>，指标值：</w:t>
      </w:r>
      <w:r>
        <w:rPr>
          <w:rFonts w:hint="eastAsia"/>
        </w:rPr>
        <w:t>&gt;=85%</w:t>
      </w:r>
      <w:r>
        <w:t>，实际完成值：</w:t>
      </w:r>
      <w:r>
        <w:rPr>
          <w:rFonts w:hint="eastAsia"/>
        </w:rPr>
        <w:t>95.65%</w:t>
      </w:r>
      <w:r>
        <w:t>，指标完成率100%。</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五、预算执行进度与绩效指标总体完成率偏差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rPr>
          <w:rFonts w:hint="eastAsia"/>
          <w:lang w:eastAsia="zh-CN"/>
        </w:rPr>
        <w:t>2025年自治区药品监管专项</w:t>
      </w:r>
      <w:r>
        <w:t>项目年初预算</w:t>
      </w:r>
      <w:r>
        <w:rPr>
          <w:rFonts w:hint="eastAsia"/>
          <w:lang w:eastAsia="zh-CN"/>
        </w:rPr>
        <w:t>220.00</w:t>
      </w:r>
      <w:r>
        <w:t>万元，全年预算</w:t>
      </w:r>
      <w:r>
        <w:rPr>
          <w:rFonts w:hint="eastAsia"/>
          <w:lang w:eastAsia="zh-CN"/>
        </w:rPr>
        <w:t>220.00</w:t>
      </w:r>
      <w:r>
        <w:t>万元，实际支出</w:t>
      </w:r>
      <w:r>
        <w:rPr>
          <w:rFonts w:hint="eastAsia"/>
          <w:lang w:eastAsia="zh-CN"/>
        </w:rPr>
        <w:t>220.00</w:t>
      </w:r>
      <w:r>
        <w:t>万元，预算执行率为</w:t>
      </w:r>
      <w:r>
        <w:rPr>
          <w:rFonts w:hint="eastAsia"/>
          <w:lang w:eastAsia="zh-CN"/>
        </w:rPr>
        <w:t>100%</w:t>
      </w:r>
      <w:r>
        <w:t>，项目绩效指标总体完成率为100%，</w:t>
      </w:r>
      <w:r>
        <w:rPr>
          <w:rFonts w:hint="eastAsia"/>
          <w:lang w:eastAsia="zh-CN"/>
        </w:rPr>
        <w:t>项目无偏差</w:t>
      </w:r>
      <w:r>
        <w:t>。</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六</w:t>
      </w:r>
      <w:r>
        <w:rPr>
          <w:rFonts w:hint="eastAsia" w:ascii="Times New Roman" w:hAnsi="Times New Roman" w:eastAsia="黑体" w:cs="Times New Roman"/>
          <w:lang w:eastAsia="zh-CN"/>
        </w:rPr>
        <w:t>、</w:t>
      </w:r>
      <w:r>
        <w:rPr>
          <w:rFonts w:ascii="Times New Roman" w:hAnsi="Times New Roman" w:eastAsia="黑体" w:cs="Times New Roman"/>
        </w:rPr>
        <w:t>主要经验及做法、存在的问题及原因分析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（一）主要经验及做法</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楷体_GB2312" w:cs="Times New Roman"/>
        </w:rPr>
      </w:pPr>
      <w:r>
        <w:rPr>
          <w:rFonts w:ascii="Times New Roman" w:hAnsi="Times New Roman" w:eastAsia="楷体_GB2312" w:cs="Times New Roman"/>
        </w:rPr>
        <w:t>（二）存在的问题及原因分析</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2.因轮岗、调动等因素使我单位绩效工作人员流动频繁，造成工作衔接不到位的情况。</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七</w:t>
      </w:r>
      <w:r>
        <w:rPr>
          <w:rFonts w:hint="eastAsia" w:ascii="Times New Roman" w:hAnsi="Times New Roman" w:eastAsia="黑体" w:cs="Times New Roman"/>
          <w:lang w:eastAsia="zh-CN"/>
        </w:rPr>
        <w:t>、</w:t>
      </w:r>
      <w:r>
        <w:rPr>
          <w:rFonts w:ascii="Times New Roman" w:hAnsi="Times New Roman" w:eastAsia="黑体" w:cs="Times New Roman"/>
        </w:rPr>
        <w:t>有关建议</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1</w:t>
      </w:r>
      <w:r>
        <w:rPr>
          <w:rFonts w:hint="eastAsia"/>
          <w:lang w:eastAsia="zh-CN"/>
        </w:rPr>
        <w:t>．</w:t>
      </w:r>
      <w:r>
        <w:t>多进行有关绩效管理工作方面的培训。积极组织第三方开展绩效管理工作培训，进一步夯实业务基础，提高我单位绩效人员水平。</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2</w:t>
      </w:r>
      <w:r>
        <w:rPr>
          <w:rFonts w:hint="eastAsia"/>
          <w:lang w:eastAsia="zh-CN"/>
        </w:rPr>
        <w:t>．</w:t>
      </w:r>
      <w:r>
        <w:t>专门设定对绩效工作人员定职、定岗、定责等相关制度措施，进一步提升我单位绩效管理工作业务水平，扎实做好绩效管理工作。</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3</w:t>
      </w:r>
      <w:r>
        <w:rPr>
          <w:rFonts w:hint="eastAsia"/>
          <w:lang w:eastAsia="zh-CN"/>
        </w:rPr>
        <w:t>．</w:t>
      </w:r>
      <w: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4</w:t>
      </w:r>
      <w:r>
        <w:rPr>
          <w:rFonts w:hint="eastAsia"/>
          <w:lang w:eastAsia="zh-CN"/>
        </w:rPr>
        <w:t>．</w:t>
      </w:r>
      <w:r>
        <w:t>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5</w:t>
      </w:r>
      <w:r>
        <w:rPr>
          <w:rFonts w:hint="eastAsia"/>
          <w:lang w:eastAsia="zh-CN"/>
        </w:rPr>
        <w:t>．</w:t>
      </w:r>
      <w: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rPr>
          <w:rFonts w:ascii="Times New Roman" w:hAnsi="Times New Roman" w:eastAsia="黑体" w:cs="Times New Roman"/>
        </w:rPr>
      </w:pPr>
      <w:r>
        <w:rPr>
          <w:rFonts w:ascii="Times New Roman" w:hAnsi="Times New Roman" w:eastAsia="黑体" w:cs="Times New Roman"/>
        </w:rPr>
        <w:t>八</w:t>
      </w:r>
      <w:r>
        <w:rPr>
          <w:rFonts w:hint="eastAsia" w:ascii="Times New Roman" w:hAnsi="Times New Roman" w:eastAsia="黑体" w:cs="Times New Roman"/>
          <w:lang w:eastAsia="zh-CN"/>
        </w:rPr>
        <w:t>、</w:t>
      </w:r>
      <w:r>
        <w:rPr>
          <w:rFonts w:ascii="Times New Roman" w:hAnsi="Times New Roman" w:eastAsia="黑体" w:cs="Times New Roman"/>
        </w:rPr>
        <w:t>其他需要说明的问题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pPr>
      <w:r>
        <w:t>本项目无其他需说明的问题。</w:t>
      </w:r>
    </w:p>
    <w:p>
      <w:pPr>
        <w:keepNext w:val="0"/>
        <w:keepLines w:val="0"/>
        <w:pageBreakBefore w:val="0"/>
        <w:widowControl w:val="0"/>
        <w:kinsoku/>
        <w:wordWrap/>
        <w:overflowPunct/>
        <w:topLinePunct w:val="0"/>
        <w:autoSpaceDE/>
        <w:autoSpaceDN/>
        <w:bidi w:val="0"/>
        <w:adjustRightInd w:val="0"/>
        <w:snapToGrid/>
        <w:ind w:firstLine="632" w:firstLineChars="200"/>
        <w:jc w:val="both"/>
        <w:textAlignment w:val="baseline"/>
        <w:sectPr>
          <w:headerReference r:id="rId5" w:type="default"/>
          <w:footerReference r:id="rId6" w:type="default"/>
          <w:pgSz w:w="11906" w:h="16839"/>
          <w:pgMar w:top="2098" w:right="1531" w:bottom="1984" w:left="1531" w:header="0" w:footer="1531" w:gutter="0"/>
          <w:cols w:space="0" w:num="1"/>
          <w:rtlGutter w:val="0"/>
          <w:docGrid w:type="linesAndChars" w:linePitch="579" w:charSpace="-849"/>
        </w:sectPr>
      </w:pPr>
    </w:p>
    <w:p>
      <w:pPr>
        <w:keepNext w:val="0"/>
        <w:keepLines w:val="0"/>
        <w:pageBreakBefore w:val="0"/>
        <w:widowControl/>
        <w:kinsoku w:val="0"/>
        <w:wordWrap/>
        <w:overflowPunct/>
        <w:topLinePunct w:val="0"/>
        <w:autoSpaceDE w:val="0"/>
        <w:autoSpaceDN w:val="0"/>
        <w:bidi w:val="0"/>
        <w:adjustRightInd w:val="0"/>
        <w:snapToGrid/>
        <w:spacing w:line="240" w:lineRule="auto"/>
        <w:jc w:val="both"/>
        <w:textAlignment w:val="baseline"/>
        <w:rPr>
          <w:rFonts w:ascii="Times New Roman" w:hAnsi="Times New Roman" w:eastAsia="黑体" w:cs="Times New Roman"/>
          <w:spacing w:val="0"/>
          <w:sz w:val="32"/>
          <w:szCs w:val="31"/>
        </w:rPr>
      </w:pPr>
      <w:r>
        <w:rPr>
          <w:rFonts w:ascii="Times New Roman" w:hAnsi="Times New Roman" w:eastAsia="黑体" w:cs="Times New Roman"/>
          <w:spacing w:val="0"/>
          <w:sz w:val="32"/>
          <w:szCs w:val="31"/>
        </w:rPr>
        <w:t>附件</w:t>
      </w:r>
    </w:p>
    <w:p>
      <w:pPr>
        <w:keepNext w:val="0"/>
        <w:keepLines w:val="0"/>
        <w:pageBreakBefore w:val="0"/>
        <w:widowControl/>
        <w:kinsoku w:val="0"/>
        <w:wordWrap/>
        <w:overflowPunct/>
        <w:topLinePunct w:val="0"/>
        <w:autoSpaceDE w:val="0"/>
        <w:autoSpaceDN w:val="0"/>
        <w:bidi w:val="0"/>
        <w:adjustRightInd w:val="0"/>
        <w:snapToGrid/>
        <w:spacing w:line="240" w:lineRule="auto"/>
        <w:jc w:val="both"/>
        <w:textAlignment w:val="baseline"/>
        <w:rPr>
          <w:rFonts w:ascii="Times New Roman" w:hAnsi="Times New Roman" w:eastAsia="黑体" w:cs="Times New Roman"/>
          <w:spacing w:val="0"/>
          <w:sz w:val="32"/>
          <w:szCs w:val="31"/>
        </w:rPr>
      </w:pPr>
    </w:p>
    <w:p>
      <w:pPr>
        <w:keepNext w:val="0"/>
        <w:keepLines w:val="0"/>
        <w:pageBreakBefore w:val="0"/>
        <w:widowControl w:val="0"/>
        <w:kinsoku/>
        <w:wordWrap/>
        <w:overflowPunct/>
        <w:topLinePunct w:val="0"/>
        <w:autoSpaceDE/>
        <w:autoSpaceDN/>
        <w:bidi w:val="0"/>
        <w:adjustRightInd w:val="0"/>
        <w:snapToGrid/>
        <w:spacing w:line="560" w:lineRule="exact"/>
        <w:jc w:val="center"/>
        <w:textAlignment w:val="baseline"/>
        <w:rPr>
          <w:rFonts w:hint="default" w:ascii="Times New Roman" w:hAnsi="Times New Roman" w:eastAsia="方正小标宋简体" w:cs="Times New Roman"/>
          <w:b w:val="0"/>
          <w:bCs w:val="0"/>
          <w:spacing w:val="0"/>
          <w:sz w:val="44"/>
          <w:szCs w:val="44"/>
        </w:rPr>
      </w:pPr>
      <w:r>
        <w:rPr>
          <w:rFonts w:hint="default" w:ascii="Times New Roman" w:hAnsi="Times New Roman" w:eastAsia="方正小标宋简体" w:cs="Times New Roman"/>
          <w:b w:val="0"/>
          <w:bCs w:val="0"/>
          <w:spacing w:val="0"/>
          <w:sz w:val="44"/>
          <w:szCs w:val="44"/>
          <w:lang w:eastAsia="zh-CN"/>
        </w:rPr>
        <w:t>2025年自治区药品监管专项</w:t>
      </w:r>
      <w:r>
        <w:rPr>
          <w:rFonts w:hint="default" w:ascii="Times New Roman" w:hAnsi="Times New Roman" w:eastAsia="方正小标宋简体" w:cs="Times New Roman"/>
          <w:b w:val="0"/>
          <w:bCs w:val="0"/>
          <w:spacing w:val="0"/>
          <w:sz w:val="44"/>
          <w:szCs w:val="44"/>
        </w:rPr>
        <w:t>项目绩效评价指标体系及综合评分表</w:t>
      </w:r>
    </w:p>
    <w:p>
      <w:pPr>
        <w:spacing w:line="25" w:lineRule="auto"/>
        <w:rPr>
          <w:rFonts w:ascii="Arial"/>
          <w:sz w:val="2"/>
        </w:rPr>
      </w:pPr>
    </w:p>
    <w:tbl>
      <w:tblPr>
        <w:tblStyle w:val="7"/>
        <w:tblW w:w="13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72"/>
        <w:gridCol w:w="883"/>
        <w:gridCol w:w="1181"/>
        <w:gridCol w:w="3933"/>
        <w:gridCol w:w="5257"/>
        <w:gridCol w:w="845"/>
        <w:gridCol w:w="2"/>
        <w:gridCol w:w="844"/>
        <w:gridCol w:w="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3" w:type="dxa"/>
          <w:trHeight w:val="565" w:hRule="atLeast"/>
          <w:tblHeader/>
          <w:jc w:val="center"/>
        </w:trPr>
        <w:tc>
          <w:tcPr>
            <w:tcW w:w="772"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一级</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指标</w:t>
            </w: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二级</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指标</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三级指标</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指标解释</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指标说明</w:t>
            </w:r>
          </w:p>
        </w:tc>
        <w:tc>
          <w:tcPr>
            <w:tcW w:w="84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权重</w:t>
            </w:r>
          </w:p>
        </w:tc>
        <w:tc>
          <w:tcPr>
            <w:tcW w:w="846"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eastAsia="黑体" w:cs="Times New Roman"/>
                <w:kern w:val="21"/>
                <w:sz w:val="24"/>
                <w:szCs w:val="24"/>
              </w:rPr>
            </w:pPr>
            <w:r>
              <w:rPr>
                <w:rFonts w:ascii="Times New Roman" w:hAnsi="Times New Roman" w:eastAsia="黑体" w:cs="Times New Roman"/>
                <w:kern w:val="21"/>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3" w:type="dxa"/>
          <w:trHeight w:val="3499"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决策</w:t>
            </w:r>
          </w:p>
        </w:tc>
        <w:tc>
          <w:tcPr>
            <w:tcW w:w="883"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立项</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立项依据充分性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项目立项是否符合法律法规、相关政策、发展规划以及部门职责，用以反映和考核项目立项依据情况。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①项目立项是否符合国家法律法规、国民经济发展规划和相关政策；</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②项目立项是否符合行业发展规划和政策要求；</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③项目立项是否与部门职责范围相符，属于部门履职所需；</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④项目是否属于公共财政支持范围，是否符合中央、地方事权支出责任划分原则；</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⑤项目是否与相关部门同类项目或部门内部相关项目重复。</w:t>
            </w:r>
          </w:p>
        </w:tc>
        <w:tc>
          <w:tcPr>
            <w:tcW w:w="84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c>
          <w:tcPr>
            <w:tcW w:w="846"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gridAfter w:val="1"/>
          <w:wAfter w:w="3" w:type="dxa"/>
          <w:trHeight w:val="2182"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立项程序规范性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项目申请、设立过程是否符合相关要求，用以反映和考核项目立项的规范情况。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①项目是否按照规定的程序申请设立；</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②审批文件、材料是否符合相关要求；</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③事前是否已经过必要的可行性研究、专家论证、风险评估、绩效评估、集体决策。</w:t>
            </w:r>
          </w:p>
        </w:tc>
        <w:tc>
          <w:tcPr>
            <w:tcW w:w="845"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c>
          <w:tcPr>
            <w:tcW w:w="846"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6"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决策</w:t>
            </w:r>
          </w:p>
        </w:tc>
        <w:tc>
          <w:tcPr>
            <w:tcW w:w="883"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lang w:val="en-US" w:eastAsia="en-US"/>
              </w:rPr>
            </w:pPr>
            <w:r>
              <w:rPr>
                <w:rFonts w:ascii="Times New Roman" w:hAnsi="Times New Roman" w:cs="Times New Roman"/>
                <w:kern w:val="21"/>
                <w:sz w:val="24"/>
                <w:szCs w:val="24"/>
                <w:lang w:val="en-US" w:eastAsia="en-US"/>
              </w:rPr>
              <w:t>绩效</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lang w:val="en-US" w:eastAsia="en-US"/>
              </w:rPr>
              <w:t>目标</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绩效目标合理性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项目所设定的绩效目标是否依据充分，是否符合客观实际，用以反映和考核项目绩效目标与项目实施的相符情况。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①项目是否有绩效目标；</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②项目绩效目标与实际工作内容是否具有相关性；</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③项目预期产出效益和效果是否符合正常的业绩水平；</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④是否与预算确定的项目投资额或资金量相匹配。</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36"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绩效指标明确性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依据绩效目标设定的绩效指标是否清晰、细化、可衡量等，用以反映和考核项目绩效目标的明细化情况。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①是否将项目绩效目标细化分解为具体的绩效指标；</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②是否通过清晰、可衡量的指标值予以体现；</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③是否与项目目标任务数或计划数相对应。</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508"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决策</w:t>
            </w:r>
          </w:p>
        </w:tc>
        <w:tc>
          <w:tcPr>
            <w:tcW w:w="883"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资金</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投入</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预算编制科学性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项目预算编制是否经过科学论证、有明确标准，资金额度与年度目标是否相适应，用以反映和考核项目预算编制的科学性、合理性情况。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①预算编制是否经过科学论证；</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②预算内容与项目内容是否匹配；</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③预算额度测算依据是否充分，是否按照标准编制；</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④预算确定的项目投资额或资金量是否与工作任务相匹配。</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43"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资金分配合理性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项目预算资金分配是否有测算依据，与补助单位或地方实际是否相适应，用以反映和考核项目预算资金分配的科学性、合理性情况。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①预算资金分配依据是否充分；</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②资金分配额度是否合理，与项目单位或地方实际是否相适应。</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35"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过程</w:t>
            </w:r>
          </w:p>
        </w:tc>
        <w:tc>
          <w:tcPr>
            <w:tcW w:w="883"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资金</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管理</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资金到位率</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实际到位资金与预算资金的比率，用以反映和考核资金落实情况对项目实施的总体保障程度。</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资金到位率=（实际到位资金/预算资金）×100%。</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实际到位资金：一定时期（本年度或项目期）内落实到具体项目的资金。</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预算资金：一定时期（本年度或项目期）内预算安排到具体项目的资金。</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75"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预算执行率</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项目预算资金是否按照计划执行，用以反映或考核项目预算执行情况。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预算执行率=（实际支出资金/实际到位资金）×100%。</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实际支出资金：一定时期（本年度或项目期）内项目实际拨付的资金。</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hint="default" w:ascii="Times New Roman" w:hAnsi="Times New Roman" w:cs="Times New Roman"/>
                <w:kern w:val="21"/>
                <w:sz w:val="24"/>
                <w:szCs w:val="24"/>
              </w:rPr>
            </w:pPr>
            <w:r>
              <w:rPr>
                <w:rFonts w:hint="default"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hint="default" w:ascii="Times New Roman" w:hAnsi="Times New Roman" w:cs="Times New Roman"/>
                <w:kern w:val="21"/>
                <w:sz w:val="24"/>
                <w:szCs w:val="24"/>
              </w:rPr>
            </w:pPr>
            <w:r>
              <w:rPr>
                <w:rFonts w:hint="eastAsia" w:ascii="Times New Roman" w:hAnsi="Times New Roman" w:cs="Times New Roman"/>
                <w:kern w:val="21"/>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798"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资金使用合规性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项目资金使用是否符合相关的财务管理制度规定，用以反映和考核项目资金的规范运行情况。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①是否符合国家财经法规和财务管理制度以及有关专项资金管理办法的规定；</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②资金的拨付是否有完整的审批程序和手续；</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③是否符合项目预算批复或合同规定的用途；</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④是否存在截留、挤占、挪用、虚列支出等情况。</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67"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过程</w:t>
            </w: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组织</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实施</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管理制度</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健全性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项目实施单位的财务和业务管理制度是否健全，用以反映和考核财务和业务管理制度对项目顺利实施的保障情况。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①是否已制定或具有相应的财务和业务管理制度；</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②财务和业务管理制度是否合法、合规、完整。</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467"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组织</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实施</w:t>
            </w:r>
            <w:bookmarkStart w:id="0" w:name="_GoBack"/>
            <w:bookmarkEnd w:id="0"/>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制度执行</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有效性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项目实施是否符合相关管理规定，用以反映和考核相关管理制度的有效执行情况。</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评价要点：</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①是否遵守相关法律法规和相关管理规定；</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②项目调整及支出调整手续是否完备；</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hint="eastAsia" w:ascii="Times New Roman" w:hAnsi="Times New Roman" w:cs="Times New Roman"/>
                <w:kern w:val="21"/>
                <w:sz w:val="24"/>
                <w:szCs w:val="24"/>
              </w:rPr>
            </w:pPr>
            <w:r>
              <w:rPr>
                <w:rFonts w:hint="eastAsia" w:ascii="Times New Roman" w:hAnsi="Times New Roman" w:cs="Times New Roman"/>
                <w:kern w:val="21"/>
                <w:sz w:val="24"/>
                <w:szCs w:val="24"/>
              </w:rPr>
              <w:t>③项目合同书、验收报告、技术鉴定等资料是否齐全并及时归档；</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④项目实施的人员条件、场地设备、信息支撑等是否落实到位。</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518"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产出</w:t>
            </w: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产出</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数量</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实际完成率</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项目实施的实际产出数与计划产出数的比率，用以反映和考核项目产出数量目标的实现程度。</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实际完成率=（实际产出数/计划产出数）×100%。</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实际产出数：一定时期（本年度或项目期）内项目实际产出的产品或提供的服务数量。</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计划产出数：项目绩效目标确定的在一定时期（本年度或项目期）内计划产出的产品或提供的服务数量。</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695"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产出</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质量</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质量达标率</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项目完成的质量达标产出数与实际产出数的比率，用以反映和考核项目产出质量目标的实现程度。</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质量达标率=（质量达标产出数/实际产出数）×100%。</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7"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产出</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时效</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完成及时性</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项目实际完成时间与计划完成时间的比较，用以反映和考核项目产出时效目标的实现程度。</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实际完成时间：项目实施单位完成该项目实际所耗用的时间。</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计划完成时间：按照项目实施计划或相关规定完成该项目所需的时间。</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2472" w:hRule="atLeast"/>
          <w:jc w:val="center"/>
        </w:trPr>
        <w:tc>
          <w:tcPr>
            <w:tcW w:w="772"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产出</w:t>
            </w:r>
          </w:p>
        </w:tc>
        <w:tc>
          <w:tcPr>
            <w:tcW w:w="883"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产出</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成本</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成本节约率</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完成项目计划工作目标的实际节约成本与计划成本的比率，用以反映和考核项目的成本节约程度。</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成本节约率=</w:t>
            </w:r>
            <w:r>
              <w:rPr>
                <w:rFonts w:hint="eastAsia" w:ascii="仿宋_GB2312" w:hAnsi="仿宋_GB2312" w:eastAsia="仿宋_GB2312" w:cs="仿宋_GB2312"/>
                <w:kern w:val="21"/>
                <w:sz w:val="24"/>
                <w:szCs w:val="24"/>
              </w:rPr>
              <w:t>[</w:t>
            </w:r>
            <w:r>
              <w:rPr>
                <w:rFonts w:ascii="Times New Roman" w:hAnsi="Times New Roman" w:cs="Times New Roman"/>
                <w:kern w:val="21"/>
                <w:sz w:val="24"/>
                <w:szCs w:val="24"/>
              </w:rPr>
              <w:t>（计划成本</w:t>
            </w:r>
            <w:r>
              <w:rPr>
                <w:rFonts w:hint="eastAsia" w:ascii="Times New Roman" w:hAnsi="Times New Roman" w:cs="Times New Roman"/>
                <w:kern w:val="21"/>
                <w:sz w:val="24"/>
                <w:szCs w:val="24"/>
                <w:lang w:eastAsia="zh-CN"/>
              </w:rPr>
              <w:t>—</w:t>
            </w:r>
            <w:r>
              <w:rPr>
                <w:rFonts w:ascii="Times New Roman" w:hAnsi="Times New Roman" w:cs="Times New Roman"/>
                <w:kern w:val="21"/>
                <w:sz w:val="24"/>
                <w:szCs w:val="24"/>
              </w:rPr>
              <w:t>实际成本）/计划成本</w:t>
            </w:r>
            <w:r>
              <w:rPr>
                <w:rFonts w:hint="eastAsia" w:ascii="仿宋_GB2312" w:hAnsi="仿宋_GB2312" w:eastAsia="仿宋_GB2312" w:cs="仿宋_GB2312"/>
                <w:kern w:val="21"/>
                <w:sz w:val="24"/>
                <w:szCs w:val="24"/>
              </w:rPr>
              <w:t>]</w:t>
            </w:r>
            <w:r>
              <w:rPr>
                <w:rFonts w:ascii="Times New Roman" w:hAnsi="Times New Roman" w:cs="Times New Roman"/>
                <w:kern w:val="21"/>
                <w:sz w:val="24"/>
                <w:szCs w:val="24"/>
              </w:rPr>
              <w:t>×100%</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实际成本：项目实施单位如期、保质、保量完成既定工作目标实际所耗费的支出。</w:t>
            </w:r>
          </w:p>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计划成本：项目实施单位为完成工作目标计划安排的支出，一般以项目预算为参考。</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63" w:hRule="atLeast"/>
          <w:jc w:val="center"/>
        </w:trPr>
        <w:tc>
          <w:tcPr>
            <w:tcW w:w="772"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效益</w:t>
            </w:r>
          </w:p>
        </w:tc>
        <w:tc>
          <w:tcPr>
            <w:tcW w:w="883" w:type="dxa"/>
            <w:vMerge w:val="restart"/>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w:t>
            </w:r>
          </w:p>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效益</w:t>
            </w: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实施效益</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项目实施所产生的效益。</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项目实施所产生的社会效益、经济效益、生态效益、可持续影响等。可根据项目实际情况有选择地设置和细化。</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82" w:hRule="atLeast"/>
          <w:jc w:val="center"/>
        </w:trPr>
        <w:tc>
          <w:tcPr>
            <w:tcW w:w="772"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883" w:type="dxa"/>
            <w:vMerge w:val="continue"/>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p>
        </w:tc>
        <w:tc>
          <w:tcPr>
            <w:tcW w:w="1181" w:type="dxa"/>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满意度</w:t>
            </w:r>
          </w:p>
        </w:tc>
        <w:tc>
          <w:tcPr>
            <w:tcW w:w="3933"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社会公众或服务对象对项目实施效果的满意程度。</w:t>
            </w:r>
          </w:p>
        </w:tc>
        <w:tc>
          <w:tcPr>
            <w:tcW w:w="5257" w:type="dxa"/>
            <w:vAlign w:val="center"/>
          </w:tcPr>
          <w:p>
            <w:pPr>
              <w:keepNext w:val="0"/>
              <w:keepLines w:val="0"/>
              <w:pageBreakBefore w:val="0"/>
              <w:widowControl w:val="0"/>
              <w:kinsoku/>
              <w:wordWrap/>
              <w:overflowPunct/>
              <w:topLinePunct w:val="0"/>
              <w:autoSpaceDE/>
              <w:autoSpaceDN/>
              <w:bidi w:val="0"/>
              <w:adjustRightInd w:val="0"/>
              <w:snapToGrid w:val="0"/>
              <w:jc w:val="both"/>
              <w:textAlignment w:val="baseline"/>
              <w:rPr>
                <w:rFonts w:ascii="Times New Roman" w:hAnsi="Times New Roman" w:cs="Times New Roman"/>
                <w:kern w:val="21"/>
                <w:sz w:val="24"/>
                <w:szCs w:val="24"/>
              </w:rPr>
            </w:pPr>
            <w:r>
              <w:rPr>
                <w:rFonts w:ascii="Times New Roman" w:hAnsi="Times New Roman" w:cs="Times New Roman"/>
                <w:kern w:val="21"/>
                <w:sz w:val="24"/>
                <w:szCs w:val="24"/>
              </w:rPr>
              <w:t>社会公众或服务对象是指因该项目实施而受到影响的部门（单位）、群体或个人。一般采取社会调查的方式。</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c>
          <w:tcPr>
            <w:tcW w:w="847" w:type="dxa"/>
            <w:gridSpan w:val="2"/>
            <w:vAlign w:val="center"/>
          </w:tcPr>
          <w:p>
            <w:pPr>
              <w:keepNext w:val="0"/>
              <w:keepLines w:val="0"/>
              <w:pageBreakBefore w:val="0"/>
              <w:widowControl w:val="0"/>
              <w:kinsoku/>
              <w:wordWrap/>
              <w:overflowPunct/>
              <w:topLinePunct w:val="0"/>
              <w:autoSpaceDE/>
              <w:autoSpaceDN/>
              <w:bidi w:val="0"/>
              <w:adjustRightInd w:val="0"/>
              <w:snapToGrid w:val="0"/>
              <w:jc w:val="center"/>
              <w:textAlignment w:val="baseline"/>
              <w:rPr>
                <w:rFonts w:ascii="Times New Roman" w:hAnsi="Times New Roman" w:cs="Times New Roman"/>
                <w:kern w:val="21"/>
                <w:sz w:val="24"/>
                <w:szCs w:val="24"/>
              </w:rPr>
            </w:pPr>
            <w:r>
              <w:rPr>
                <w:rFonts w:ascii="Times New Roman" w:hAnsi="Times New Roman" w:cs="Times New Roman"/>
                <w:kern w:val="21"/>
                <w:sz w:val="24"/>
                <w:szCs w:val="24"/>
              </w:rPr>
              <w:t>10</w:t>
            </w:r>
          </w:p>
        </w:tc>
      </w:tr>
    </w:tbl>
    <w:p>
      <w:pPr>
        <w:pStyle w:val="2"/>
      </w:pPr>
    </w:p>
    <w:sectPr>
      <w:footerReference r:id="rId7" w:type="default"/>
      <w:pgSz w:w="16838" w:h="11905" w:orient="landscape"/>
      <w:pgMar w:top="2098" w:right="1531" w:bottom="1984" w:left="1531" w:header="0" w:footer="1531"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tabs>
        <w:tab w:val="left" w:pos="1766"/>
        <w:tab w:val="center" w:pos="4153"/>
        <w:tab w:val="right" w:pos="8306"/>
        <w:tab w:val="right" w:pos="8524"/>
      </w:tabs>
      <w:kinsoku w:val="0"/>
      <w:wordWrap/>
      <w:overflowPunct w:val="0"/>
      <w:topLinePunct w:val="0"/>
      <w:autoSpaceDE w:val="0"/>
      <w:autoSpaceDN w:val="0"/>
      <w:bidi w:val="0"/>
      <w:adjustRightInd w:val="0"/>
      <w:snapToGrid w:val="0"/>
      <w:ind w:left="320" w:leftChars="100" w:right="320" w:rightChars="100"/>
      <w:jc w:val="center"/>
      <w:textAlignment w:val="auto"/>
      <w:rPr>
        <w:sz w:val="28"/>
        <w:szCs w:val="28"/>
      </w:rPr>
    </w:pPr>
    <w:r>
      <w:rPr>
        <w:rFonts w:hint="eastAsia" w:ascii="宋体" w:hAnsi="宋体" w:eastAsia="宋体"/>
        <w:kern w:val="21"/>
        <w:sz w:val="28"/>
        <w:szCs w:val="28"/>
      </w:rPr>
      <w:t>—</w:t>
    </w:r>
    <w:r>
      <w:rPr>
        <w:rFonts w:ascii="宋体" w:hAnsi="宋体" w:eastAsia="宋体"/>
        <w:kern w:val="21"/>
        <w:sz w:val="28"/>
        <w:szCs w:val="28"/>
      </w:rPr>
      <w:t xml:space="preserve"> </w:t>
    </w:r>
    <w:r>
      <w:rPr>
        <w:rFonts w:ascii="宋体" w:hAnsi="宋体" w:eastAsia="宋体"/>
        <w:kern w:val="21"/>
        <w:sz w:val="28"/>
        <w:szCs w:val="28"/>
      </w:rPr>
      <w:fldChar w:fldCharType="begin"/>
    </w:r>
    <w:r>
      <w:rPr>
        <w:rFonts w:ascii="宋体" w:hAnsi="宋体" w:eastAsia="宋体"/>
        <w:kern w:val="21"/>
        <w:sz w:val="28"/>
        <w:szCs w:val="28"/>
      </w:rPr>
      <w:instrText xml:space="preserve"> PAGE </w:instrText>
    </w:r>
    <w:r>
      <w:rPr>
        <w:rFonts w:ascii="宋体" w:hAnsi="宋体" w:eastAsia="宋体"/>
        <w:kern w:val="21"/>
        <w:sz w:val="28"/>
        <w:szCs w:val="28"/>
      </w:rPr>
      <w:fldChar w:fldCharType="separate"/>
    </w:r>
    <w:r>
      <w:rPr>
        <w:rFonts w:ascii="宋体" w:hAnsi="宋体" w:eastAsia="宋体"/>
        <w:kern w:val="21"/>
        <w:sz w:val="28"/>
        <w:szCs w:val="28"/>
      </w:rPr>
      <w:t>1</w:t>
    </w:r>
    <w:r>
      <w:rPr>
        <w:rFonts w:ascii="宋体" w:hAnsi="宋体" w:eastAsia="宋体"/>
        <w:kern w:val="21"/>
        <w:sz w:val="28"/>
        <w:szCs w:val="28"/>
      </w:rPr>
      <w:fldChar w:fldCharType="end"/>
    </w:r>
    <w:r>
      <w:rPr>
        <w:rFonts w:ascii="宋体" w:hAnsi="宋体" w:eastAsia="宋体"/>
        <w:kern w:val="21"/>
        <w:sz w:val="28"/>
        <w:szCs w:val="28"/>
      </w:rPr>
      <w:t xml:space="preserve"> </w:t>
    </w:r>
    <w:r>
      <w:rPr>
        <w:rFonts w:hint="eastAsia" w:ascii="宋体" w:hAnsi="宋体" w:eastAsia="宋体"/>
        <w:kern w:val="21"/>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tabs>
        <w:tab w:val="left" w:pos="1766"/>
        <w:tab w:val="center" w:pos="4153"/>
        <w:tab w:val="right" w:pos="8306"/>
        <w:tab w:val="right" w:pos="8524"/>
      </w:tabs>
      <w:kinsoku w:val="0"/>
      <w:wordWrap/>
      <w:overflowPunct w:val="0"/>
      <w:topLinePunct w:val="0"/>
      <w:autoSpaceDE w:val="0"/>
      <w:autoSpaceDN w:val="0"/>
      <w:bidi w:val="0"/>
      <w:adjustRightInd w:val="0"/>
      <w:snapToGrid w:val="0"/>
      <w:ind w:left="320" w:leftChars="100" w:right="320" w:rightChars="100"/>
      <w:jc w:val="center"/>
      <w:textAlignment w:val="auto"/>
    </w:pPr>
    <w:r>
      <w:rPr>
        <w:rFonts w:hint="eastAsia" w:ascii="宋体" w:hAnsi="宋体" w:eastAsia="宋体"/>
        <w:kern w:val="21"/>
        <w:sz w:val="28"/>
        <w:szCs w:val="28"/>
      </w:rPr>
      <w:t>—</w:t>
    </w:r>
    <w:r>
      <w:rPr>
        <w:rFonts w:ascii="宋体" w:hAnsi="宋体" w:eastAsia="宋体"/>
        <w:kern w:val="21"/>
        <w:sz w:val="28"/>
        <w:szCs w:val="28"/>
      </w:rPr>
      <w:t xml:space="preserve"> </w:t>
    </w:r>
    <w:r>
      <w:rPr>
        <w:rFonts w:ascii="宋体" w:hAnsi="宋体" w:eastAsia="宋体"/>
        <w:kern w:val="21"/>
        <w:sz w:val="28"/>
        <w:szCs w:val="28"/>
      </w:rPr>
      <w:fldChar w:fldCharType="begin"/>
    </w:r>
    <w:r>
      <w:rPr>
        <w:rFonts w:ascii="宋体" w:hAnsi="宋体" w:eastAsia="宋体"/>
        <w:kern w:val="21"/>
        <w:sz w:val="28"/>
        <w:szCs w:val="28"/>
      </w:rPr>
      <w:instrText xml:space="preserve"> PAGE </w:instrText>
    </w:r>
    <w:r>
      <w:rPr>
        <w:rFonts w:ascii="宋体" w:hAnsi="宋体" w:eastAsia="宋体"/>
        <w:kern w:val="21"/>
        <w:sz w:val="28"/>
        <w:szCs w:val="28"/>
      </w:rPr>
      <w:fldChar w:fldCharType="separate"/>
    </w:r>
    <w:r>
      <w:rPr>
        <w:rFonts w:ascii="宋体" w:hAnsi="宋体" w:eastAsia="宋体"/>
        <w:kern w:val="21"/>
        <w:sz w:val="28"/>
        <w:szCs w:val="28"/>
      </w:rPr>
      <w:t>1</w:t>
    </w:r>
    <w:r>
      <w:rPr>
        <w:rFonts w:ascii="宋体" w:hAnsi="宋体" w:eastAsia="宋体"/>
        <w:kern w:val="21"/>
        <w:sz w:val="28"/>
        <w:szCs w:val="28"/>
      </w:rPr>
      <w:fldChar w:fldCharType="end"/>
    </w:r>
    <w:r>
      <w:rPr>
        <w:rFonts w:ascii="宋体" w:hAnsi="宋体" w:eastAsia="宋体"/>
        <w:kern w:val="21"/>
        <w:sz w:val="28"/>
        <w:szCs w:val="28"/>
      </w:rPr>
      <w:t xml:space="preserve"> </w:t>
    </w:r>
    <w:r>
      <w:rPr>
        <w:rFonts w:hint="eastAsia" w:ascii="宋体" w:hAnsi="宋体" w:eastAsia="宋体"/>
        <w:kern w:val="21"/>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true"/>
  <w:bordersDoNotSurroundHeader w:val="false"/>
  <w:bordersDoNotSurroundFooter w:val="false"/>
  <w:documentProtection w:enforcement="0"/>
  <w:drawingGridHorizontalSpacing w:val="158"/>
  <w:drawingGridVerticalSpacing w:val="290"/>
  <w:displayHorizontalDrawingGridEvery w:val="2"/>
  <w:displayVerticalDrawingGridEvery w:val="2"/>
  <w:noPunctuationKerning w:val="true"/>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useAltKinsokuLineBreakRules/>
    <w:compatSetting w:name="compatibilityMode" w:uri="http://schemas.microsoft.com/office/word" w:val="14"/>
  </w:compat>
  <w:rsids>
    <w:rsidRoot w:val="00000000"/>
    <w:rsid w:val="190116B8"/>
    <w:rsid w:val="24D75E5F"/>
    <w:rsid w:val="3E4DE038"/>
    <w:rsid w:val="3E715923"/>
    <w:rsid w:val="691D1AA6"/>
    <w:rsid w:val="71CB78F2"/>
    <w:rsid w:val="797FB0C3"/>
    <w:rsid w:val="7FFD0168"/>
    <w:rsid w:val="ED3D5212"/>
    <w:rsid w:val="EF775D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Times New Roman" w:hAnsi="Times New Roman" w:eastAsia="仿宋_GB2312" w:cs="Times New Roman"/>
      <w:snapToGrid/>
      <w:color w:val="000000"/>
      <w:kern w:val="21"/>
      <w:sz w:val="32"/>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11753</Words>
  <Characters>12167</Characters>
  <TotalTime>0</TotalTime>
  <ScaleCrop>false</ScaleCrop>
  <LinksUpToDate>false</LinksUpToDate>
  <CharactersWithSpaces>12588</CharactersWithSpaces>
  <Application>WPS Office_11.8.2.10337_F1E327BC-269C-435d-A152-05C5408002CA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2025-05-21T19:04:00Z</dcterms:created>
  <dc:creator>审核人</dc:creator>
  <cp:lastModifiedBy>许平心</cp:lastModifiedBy>
  <dcterms:modified xsi:type="dcterms:W3CDTF">2026-04-13T12:59:20Z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2026-04-10T11:16:48Z</vt:filetime>
  </property>
  <property fmtid="{D5CDD505-2E9C-101B-9397-08002B2CF9AE}" pid="4" name="KSOTemplateDocerSaveRecord">
    <vt:lpwstr>eyJoZGlkIjoiZTI5YjQ1MGFjMTFiNDg1NTk2YmRlM2ViMGJiOWRjYTMiLCJ1c2VySWQiOiI5NTQwODY0MjgifQ==</vt:lpwstr>
  </property>
  <property fmtid="{D5CDD505-2E9C-101B-9397-08002B2CF9AE}" pid="5" name="KSOProductBuildVer">
    <vt:lpwstr>2052-11.8.2.10337</vt:lpwstr>
  </property>
  <property fmtid="{D5CDD505-2E9C-101B-9397-08002B2CF9AE}" pid="6" name="ICV">
    <vt:lpwstr>7037A643AA4E45E08962835801C0C669_13</vt:lpwstr>
  </property>
</Properties>
</file>