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409" w:rsidRDefault="00CA2409">
      <w:pPr>
        <w:spacing w:after="0" w:line="240" w:lineRule="auto"/>
        <w:rPr>
          <w:rFonts w:ascii="宋体" w:eastAsia="宋体"/>
          <w:sz w:val="32"/>
          <w:szCs w:val="32"/>
        </w:rPr>
      </w:pPr>
    </w:p>
    <w:p w:rsidR="00CA2409" w:rsidRDefault="00CA2409">
      <w:pPr>
        <w:spacing w:after="0" w:line="240" w:lineRule="auto"/>
        <w:rPr>
          <w:rFonts w:ascii="宋体" w:eastAsia="宋体"/>
          <w:sz w:val="44"/>
          <w:szCs w:val="44"/>
        </w:rPr>
      </w:pPr>
    </w:p>
    <w:p w:rsidR="00CA2409" w:rsidRDefault="00CA2409">
      <w:pPr>
        <w:spacing w:after="0" w:line="240" w:lineRule="auto"/>
        <w:rPr>
          <w:rFonts w:ascii="宋体" w:eastAsia="宋体"/>
          <w:sz w:val="44"/>
          <w:szCs w:val="44"/>
        </w:rPr>
      </w:pPr>
    </w:p>
    <w:p w:rsidR="00CA2409" w:rsidRDefault="00CA2409">
      <w:pPr>
        <w:spacing w:after="0" w:line="240" w:lineRule="auto"/>
        <w:rPr>
          <w:rFonts w:ascii="宋体" w:eastAsia="宋体"/>
          <w:sz w:val="44"/>
          <w:szCs w:val="44"/>
        </w:rPr>
      </w:pPr>
    </w:p>
    <w:p w:rsidR="00CA2409" w:rsidRDefault="00C62FA5">
      <w:pPr>
        <w:spacing w:after="0" w:line="240" w:lineRule="auto"/>
        <w:jc w:val="center"/>
        <w:outlineLvl w:val="0"/>
        <w:rPr>
          <w:rFonts w:ascii="宋体" w:eastAsia="黑体"/>
          <w:sz w:val="44"/>
          <w:szCs w:val="44"/>
          <w:lang w:eastAsia="zh-CN"/>
        </w:rPr>
      </w:pPr>
      <w:r>
        <w:rPr>
          <w:rFonts w:ascii="宋体" w:eastAsia="黑体"/>
          <w:sz w:val="44"/>
          <w:szCs w:val="44"/>
          <w:lang w:eastAsia="zh-CN"/>
        </w:rPr>
        <w:t>新疆维吾尔自治区药品监督管理局（本级）</w:t>
      </w:r>
    </w:p>
    <w:p w:rsidR="00CA2409" w:rsidRDefault="00C62FA5">
      <w:pPr>
        <w:spacing w:after="0" w:line="240" w:lineRule="auto"/>
        <w:jc w:val="center"/>
        <w:outlineLvl w:val="0"/>
        <w:rPr>
          <w:rFonts w:ascii="黑体" w:eastAsia="黑体"/>
          <w:sz w:val="44"/>
          <w:szCs w:val="44"/>
          <w:lang w:eastAsia="zh-CN"/>
        </w:rPr>
      </w:pPr>
      <w:r>
        <w:rPr>
          <w:rFonts w:ascii="黑体" w:eastAsia="黑体"/>
          <w:sz w:val="44"/>
          <w:szCs w:val="44"/>
          <w:lang w:eastAsia="zh-CN"/>
        </w:rPr>
        <w:t>2025年度部门决算公开说明</w:t>
      </w:r>
    </w:p>
    <w:p w:rsidR="00CA2409" w:rsidRDefault="00C62FA5">
      <w:pPr>
        <w:rPr>
          <w:lang w:eastAsia="zh-CN"/>
        </w:rPr>
      </w:pPr>
      <w:r>
        <w:rPr>
          <w:sz w:val="0"/>
          <w:szCs w:val="0"/>
          <w:lang w:eastAsia="zh-CN"/>
        </w:rPr>
        <w:br w:type="page"/>
      </w:r>
    </w:p>
    <w:p w:rsidR="00CA2409" w:rsidRDefault="00C62FA5">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 录</w:t>
      </w:r>
    </w:p>
    <w:p w:rsidR="00CA2409" w:rsidRDefault="00C62FA5">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rsidR="00CA2409" w:rsidRDefault="00C62FA5">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rsidR="00CA2409" w:rsidRDefault="00C62FA5">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rsidR="00CA2409" w:rsidRDefault="00C62FA5">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CA2409" w:rsidRDefault="00C62FA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rsidR="00CA2409" w:rsidRDefault="00C62FA5">
      <w:pPr>
        <w:rPr>
          <w:lang w:eastAsia="zh-CN"/>
        </w:rPr>
      </w:pPr>
      <w:r>
        <w:rPr>
          <w:sz w:val="0"/>
          <w:szCs w:val="0"/>
          <w:lang w:eastAsia="zh-CN"/>
        </w:rPr>
        <w:br w:type="page"/>
      </w:r>
    </w:p>
    <w:p w:rsidR="00CA2409" w:rsidRDefault="00C62FA5">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负责药品（含中药、民族药，下同）、医疗器械和化妆品安全监督管理。贯彻落实国家关于药品、医疗器械和化妆品监督管理的法律、法规、规章和政策，拟订地方性法规草案、政府规章草案，并组织实施。</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（二）监督实施药品、医疗器械、化妆品相关标准和分类管理制度。组织制定、发布中药材地方标准和中药饮片炮制规范，并监督实施。参与实施国家基本药物制度。</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（三）负责药品、医疗器械和化妆品注册管理。落实国家注册管理制度，严格上市审评审批，完善</w:t>
      </w:r>
      <w:proofErr w:type="gramStart"/>
      <w:r>
        <w:rPr>
          <w:rFonts w:ascii="仿宋_GB2312" w:eastAsia="仿宋_GB2312"/>
          <w:sz w:val="32"/>
          <w:szCs w:val="32"/>
          <w:lang w:eastAsia="zh-CN"/>
        </w:rPr>
        <w:t>审评审批</w:t>
      </w:r>
      <w:proofErr w:type="gramEnd"/>
      <w:r>
        <w:rPr>
          <w:rFonts w:ascii="仿宋_GB2312" w:eastAsia="仿宋_GB2312"/>
          <w:sz w:val="32"/>
          <w:szCs w:val="32"/>
          <w:lang w:eastAsia="zh-CN"/>
        </w:rPr>
        <w:t>服务便利化措施。</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（四）负责药品、医疗器械和化妆品质量管理。监督实施生产质量管理规范。依职责监督、指导实施经营和使用质量管理规范。负责药品、医疗器械互联网销售第三方平台备案及监督管理。</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（五）负责药品、医疗器械和化妆品上市后风险管理。组织开展全区药品、化妆品不良反应和医疗器械不良事件监测及处置。组织开展药物滥用监测。依法承担药品、医疗器械和化妆品安全应急管理。</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（六）执行执业药师资格准入制度，组织实施执业药师注册工作。</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（七）负责组织指导药品、医疗器械和化妆品监督检查，依职责组织指导查处药品、医疗器械、化妆品生产、经营和使用环节的违法行为。</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（八）负责权限内药品、医疗器械和化妆品监督管理领域政策法规宣传、信息发布、对外交流与合作。推进信用体系建设。</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（九）指导地县药品、医疗器械、化妆品监督管理工作。</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（十）完成自治区党委、自治区人民政府交办的其他任务。</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（十一）职能转变。</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1.深入推进简政放权。执行国家药品、医疗器械、化妆品领域简政放权有关政策措施，减少具体行政审批事项。</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2.强化事中事后监管。完善药品、医疗器械全生命周期管理制度，强化全过程质量安全风险管理，创新监管方式，加强信用监管，全面落实</w:t>
      </w:r>
      <w:r>
        <w:rPr>
          <w:rFonts w:ascii="仿宋_GB2312" w:eastAsia="仿宋_GB2312"/>
          <w:sz w:val="32"/>
          <w:szCs w:val="32"/>
          <w:lang w:eastAsia="zh-CN"/>
        </w:rPr>
        <w:t>“</w:t>
      </w:r>
      <w:r>
        <w:rPr>
          <w:rFonts w:ascii="仿宋_GB2312" w:eastAsia="仿宋_GB2312"/>
          <w:sz w:val="32"/>
          <w:szCs w:val="32"/>
          <w:lang w:eastAsia="zh-CN"/>
        </w:rPr>
        <w:t>双随机、</w:t>
      </w:r>
      <w:proofErr w:type="gramStart"/>
      <w:r>
        <w:rPr>
          <w:rFonts w:ascii="仿宋_GB2312" w:eastAsia="仿宋_GB2312"/>
          <w:sz w:val="32"/>
          <w:szCs w:val="32"/>
          <w:lang w:eastAsia="zh-CN"/>
        </w:rPr>
        <w:t>一</w:t>
      </w:r>
      <w:proofErr w:type="gramEnd"/>
      <w:r>
        <w:rPr>
          <w:rFonts w:ascii="仿宋_GB2312" w:eastAsia="仿宋_GB2312"/>
          <w:sz w:val="32"/>
          <w:szCs w:val="32"/>
          <w:lang w:eastAsia="zh-CN"/>
        </w:rPr>
        <w:t>公开</w:t>
      </w:r>
      <w:r>
        <w:rPr>
          <w:rFonts w:ascii="仿宋_GB2312" w:eastAsia="仿宋_GB2312"/>
          <w:sz w:val="32"/>
          <w:szCs w:val="32"/>
          <w:lang w:eastAsia="zh-CN"/>
        </w:rPr>
        <w:t>”</w:t>
      </w:r>
      <w:r>
        <w:rPr>
          <w:rFonts w:ascii="仿宋_GB2312" w:eastAsia="仿宋_GB2312"/>
          <w:sz w:val="32"/>
          <w:szCs w:val="32"/>
          <w:lang w:eastAsia="zh-CN"/>
        </w:rPr>
        <w:t>和</w:t>
      </w:r>
      <w:r>
        <w:rPr>
          <w:rFonts w:ascii="仿宋_GB2312" w:eastAsia="仿宋_GB2312"/>
          <w:sz w:val="32"/>
          <w:szCs w:val="32"/>
          <w:lang w:eastAsia="zh-CN"/>
        </w:rPr>
        <w:t>“</w:t>
      </w:r>
      <w:r>
        <w:rPr>
          <w:rFonts w:ascii="仿宋_GB2312" w:eastAsia="仿宋_GB2312"/>
          <w:sz w:val="32"/>
          <w:szCs w:val="32"/>
          <w:lang w:eastAsia="zh-CN"/>
        </w:rPr>
        <w:t>互联网+监管</w:t>
      </w:r>
      <w:r>
        <w:rPr>
          <w:rFonts w:ascii="仿宋_GB2312" w:eastAsia="仿宋_GB2312"/>
          <w:sz w:val="32"/>
          <w:szCs w:val="32"/>
          <w:lang w:eastAsia="zh-CN"/>
        </w:rPr>
        <w:t>”</w:t>
      </w:r>
      <w:r>
        <w:rPr>
          <w:rFonts w:ascii="仿宋_GB2312" w:eastAsia="仿宋_GB2312"/>
          <w:sz w:val="32"/>
          <w:szCs w:val="32"/>
          <w:lang w:eastAsia="zh-CN"/>
        </w:rPr>
        <w:t>，严惩违法违规行为，推进监管信息共享，提高监管效能，满足新时代公众</w:t>
      </w:r>
      <w:proofErr w:type="gramStart"/>
      <w:r>
        <w:rPr>
          <w:rFonts w:ascii="仿宋_GB2312" w:eastAsia="仿宋_GB2312"/>
          <w:sz w:val="32"/>
          <w:szCs w:val="32"/>
          <w:lang w:eastAsia="zh-CN"/>
        </w:rPr>
        <w:t>用药用械需求</w:t>
      </w:r>
      <w:proofErr w:type="gramEnd"/>
      <w:r>
        <w:rPr>
          <w:rFonts w:ascii="仿宋_GB2312" w:eastAsia="仿宋_GB2312"/>
          <w:sz w:val="32"/>
          <w:szCs w:val="32"/>
          <w:lang w:eastAsia="zh-CN"/>
        </w:rPr>
        <w:t>。</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3.有效提升服务水平。完善审批服务便利化措施，推进审批备案事项清单化、电子化，简化优化行政许可、备案的相关程序、流程，提高效率，营造激励创新、保护合法权益环境。</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4.全面落实监管责任。按照</w:t>
      </w:r>
      <w:r>
        <w:rPr>
          <w:rFonts w:ascii="仿宋_GB2312" w:eastAsia="仿宋_GB2312"/>
          <w:sz w:val="32"/>
          <w:szCs w:val="32"/>
          <w:lang w:eastAsia="zh-CN"/>
        </w:rPr>
        <w:t>“</w:t>
      </w:r>
      <w:r>
        <w:rPr>
          <w:rFonts w:ascii="仿宋_GB2312" w:eastAsia="仿宋_GB2312"/>
          <w:sz w:val="32"/>
          <w:szCs w:val="32"/>
          <w:lang w:eastAsia="zh-CN"/>
        </w:rPr>
        <w:t>最严谨的标准、最严格的监管、最严厉的处罚、最严肃的问责</w:t>
      </w:r>
      <w:r>
        <w:rPr>
          <w:rFonts w:ascii="仿宋_GB2312" w:eastAsia="仿宋_GB2312"/>
          <w:sz w:val="32"/>
          <w:szCs w:val="32"/>
          <w:lang w:eastAsia="zh-CN"/>
        </w:rPr>
        <w:t>”</w:t>
      </w:r>
      <w:r>
        <w:rPr>
          <w:rFonts w:ascii="仿宋_GB2312" w:eastAsia="仿宋_GB2312"/>
          <w:sz w:val="32"/>
          <w:szCs w:val="32"/>
          <w:lang w:eastAsia="zh-CN"/>
        </w:rPr>
        <w:t>要求，完善药品、医疗器械和化妆品许可、检查、检验、监测、处罚等体系，提升监管队伍专业化水平。加快仿制药质量和疗效一致性评价，推进追溯体系建设，落实企业主体责任，防范系统性、区域性风险，保障药品、医疗器械安全有效。</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（十二）有关职责分工。</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与自治区市场监督管理局的有关职责分工。自治区药品监督管理局负责药品、医疗器械、化妆品生产环节的许可、检查和处罚，以及药品批发许可、零售连锁总部许可、互联网销售第三方平台备案及检查和处罚。各地县市场监督管理部门负责药品零售、医疗器械经营的许可、备案、检查和处罚，以及化妆品经营和药品、医疗器械使用环节质量的检查和处罚。</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2.与自治区卫生健康委员会的有关职责分工。自治区药品监督管理局会同自治区卫生健康委员会建立重大药品不良反应和医疗器械不良事件相互通报和联合处置机制。</w:t>
      </w:r>
    </w:p>
    <w:p w:rsidR="00446DDC"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与自治区商务厅的有关职责分工。自治区商务厅负责拟订药品流通发展规划和政策，自治区药品监督管理局在药品监督管理工作中，配合执行药品流通发展规划和政策。自治区商务厅发放药品类易制毒化学品进口许可前，应当征得自治区药品监督管理局同意。</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4.与自治区公安厅的有关职责分工。自治区公安厅负责组织指导药品、医疗器械和化妆品犯罪案件侦查工作。自治区药品监督管理局与自治区公安厅建立行政执法和刑事司法工作衔接机制。药品监督管理部门发现违法行为涉嫌犯罪的，按照有关规定及时移送公安机关，公安机关应当迅速进行审查，并依法</w:t>
      </w:r>
      <w:proofErr w:type="gramStart"/>
      <w:r>
        <w:rPr>
          <w:rFonts w:ascii="仿宋_GB2312" w:eastAsia="仿宋_GB2312"/>
          <w:sz w:val="32"/>
          <w:szCs w:val="32"/>
          <w:lang w:eastAsia="zh-CN"/>
        </w:rPr>
        <w:t>作出</w:t>
      </w:r>
      <w:proofErr w:type="gramEnd"/>
      <w:r>
        <w:rPr>
          <w:rFonts w:ascii="仿宋_GB2312" w:eastAsia="仿宋_GB2312"/>
          <w:sz w:val="32"/>
          <w:szCs w:val="32"/>
          <w:lang w:eastAsia="zh-CN"/>
        </w:rPr>
        <w:t>立案或者不予立案的决定。公安机关依法提请药品监督管理部门</w:t>
      </w:r>
      <w:proofErr w:type="gramStart"/>
      <w:r>
        <w:rPr>
          <w:rFonts w:ascii="仿宋_GB2312" w:eastAsia="仿宋_GB2312"/>
          <w:sz w:val="32"/>
          <w:szCs w:val="32"/>
          <w:lang w:eastAsia="zh-CN"/>
        </w:rPr>
        <w:t>作出</w:t>
      </w:r>
      <w:proofErr w:type="gramEnd"/>
      <w:r>
        <w:rPr>
          <w:rFonts w:ascii="仿宋_GB2312" w:eastAsia="仿宋_GB2312"/>
          <w:sz w:val="32"/>
          <w:szCs w:val="32"/>
          <w:lang w:eastAsia="zh-CN"/>
        </w:rPr>
        <w:t>检验、鉴定、认定等协助的，药品监督管理部门应当予以协助。</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新疆维吾尔自治区药品监督管理局（本级）无下属预算单位。</w:t>
      </w:r>
    </w:p>
    <w:p w:rsidR="00CA2409" w:rsidRDefault="00C62FA5">
      <w:pPr>
        <w:rPr>
          <w:lang w:eastAsia="zh-CN"/>
        </w:rPr>
      </w:pPr>
      <w:r>
        <w:rPr>
          <w:sz w:val="0"/>
          <w:szCs w:val="0"/>
          <w:lang w:eastAsia="zh-CN"/>
        </w:rPr>
        <w:br w:type="page"/>
      </w:r>
    </w:p>
    <w:p w:rsidR="00CA2409" w:rsidRDefault="00C62FA5">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2025年度收入总计3,632.80万元，其中：本年收入合计3,627.49万元，使用非财政拨款结余（含专用结余）0.00万元，年初结转和结余5.32万元。</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2025年度支出总计3,632.80万元，其中：本年支出合计3,626.17万元，结余分配0.00万元，年末结转和结余6.63万元。</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收入支出总体与上年相比，减少9.46万元，下降0.26%，主要原因是：</w:t>
      </w:r>
      <w:r w:rsidR="00863D83">
        <w:rPr>
          <w:rFonts w:ascii="仿宋_GB2312" w:eastAsia="仿宋_GB2312"/>
          <w:sz w:val="32"/>
          <w:szCs w:val="32"/>
          <w:lang w:eastAsia="zh-CN"/>
        </w:rPr>
        <w:t>根据</w:t>
      </w:r>
      <w:r w:rsidR="00863D83">
        <w:rPr>
          <w:rFonts w:ascii="仿宋_GB2312" w:eastAsia="仿宋_GB2312"/>
          <w:sz w:val="32"/>
          <w:szCs w:val="32"/>
          <w:lang w:eastAsia="zh-CN"/>
        </w:rPr>
        <w:t>“</w:t>
      </w:r>
      <w:r w:rsidR="00863D83">
        <w:rPr>
          <w:rFonts w:ascii="仿宋_GB2312" w:eastAsia="仿宋_GB2312"/>
          <w:sz w:val="32"/>
          <w:szCs w:val="32"/>
          <w:lang w:eastAsia="zh-CN"/>
        </w:rPr>
        <w:t>两品</w:t>
      </w:r>
      <w:proofErr w:type="gramStart"/>
      <w:r w:rsidR="00863D83">
        <w:rPr>
          <w:rFonts w:ascii="仿宋_GB2312" w:eastAsia="仿宋_GB2312"/>
          <w:sz w:val="32"/>
          <w:szCs w:val="32"/>
          <w:lang w:eastAsia="zh-CN"/>
        </w:rPr>
        <w:t>一</w:t>
      </w:r>
      <w:proofErr w:type="gramEnd"/>
      <w:r w:rsidR="00863D83">
        <w:rPr>
          <w:rFonts w:ascii="仿宋_GB2312" w:eastAsia="仿宋_GB2312"/>
          <w:sz w:val="32"/>
          <w:szCs w:val="32"/>
          <w:lang w:eastAsia="zh-CN"/>
        </w:rPr>
        <w:t>械</w:t>
      </w:r>
      <w:r w:rsidR="00863D83">
        <w:rPr>
          <w:rFonts w:ascii="仿宋_GB2312" w:eastAsia="仿宋_GB2312"/>
          <w:sz w:val="32"/>
          <w:szCs w:val="32"/>
          <w:lang w:eastAsia="zh-CN"/>
        </w:rPr>
        <w:t>”</w:t>
      </w:r>
      <w:r w:rsidR="00863D83">
        <w:rPr>
          <w:rFonts w:ascii="仿宋_GB2312" w:eastAsia="仿宋_GB2312"/>
          <w:sz w:val="32"/>
          <w:szCs w:val="32"/>
          <w:lang w:eastAsia="zh-CN"/>
        </w:rPr>
        <w:t>日常监管及出差情况</w:t>
      </w:r>
      <w:r w:rsidR="00863D83">
        <w:rPr>
          <w:rFonts w:ascii="仿宋_GB2312" w:eastAsia="仿宋_GB2312" w:hint="eastAsia"/>
          <w:sz w:val="32"/>
          <w:szCs w:val="32"/>
          <w:lang w:eastAsia="zh-CN"/>
        </w:rPr>
        <w:t>，</w:t>
      </w:r>
      <w:r>
        <w:rPr>
          <w:rFonts w:ascii="仿宋_GB2312" w:eastAsia="仿宋_GB2312"/>
          <w:sz w:val="32"/>
          <w:szCs w:val="32"/>
          <w:lang w:eastAsia="zh-CN"/>
        </w:rPr>
        <w:t>中央食品药品监管补助</w:t>
      </w:r>
      <w:r w:rsidR="00E747DD">
        <w:rPr>
          <w:rFonts w:ascii="仿宋_GB2312" w:eastAsia="仿宋_GB2312" w:hint="eastAsia"/>
          <w:sz w:val="32"/>
          <w:szCs w:val="32"/>
          <w:lang w:eastAsia="zh-CN"/>
        </w:rPr>
        <w:t>结转</w:t>
      </w:r>
      <w:r>
        <w:rPr>
          <w:rFonts w:ascii="仿宋_GB2312" w:eastAsia="仿宋_GB2312"/>
          <w:sz w:val="32"/>
          <w:szCs w:val="32"/>
          <w:lang w:eastAsia="zh-CN"/>
        </w:rPr>
        <w:t>资金</w:t>
      </w:r>
      <w:r w:rsidR="00E747DD">
        <w:rPr>
          <w:rFonts w:ascii="仿宋_GB2312" w:eastAsia="仿宋_GB2312" w:hint="eastAsia"/>
          <w:sz w:val="32"/>
          <w:szCs w:val="32"/>
          <w:lang w:eastAsia="zh-CN"/>
        </w:rPr>
        <w:t>比</w:t>
      </w:r>
      <w:r>
        <w:rPr>
          <w:rFonts w:ascii="仿宋_GB2312" w:eastAsia="仿宋_GB2312"/>
          <w:sz w:val="32"/>
          <w:szCs w:val="32"/>
          <w:lang w:eastAsia="zh-CN"/>
        </w:rPr>
        <w:t>上年减少，因此本年收入支出总体比上年减少。</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本年收入3,627.49万元，其中：财政拨款收入3,606.26万元,占99.41%；上级补助收入0.00万元,占0.00%；事业收入0.00万元，占0.00%；经营收入0.00万元,占0.00%；附属单位上缴收入0.00万元，占0.00%；其他收入21.22万元，占0.58%。</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本年支出3,626.17万元，其中：基本支出2,565.34万元，占70.75%；项目支出1,060.83万元，占29.25%；上缴上级支出0.00万元，占0.00%；经营支出0.00万元，占0.00%；对附属单位补助支出0.00万元，占0.00%。</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财政拨款收入总计3,606.26万元，其中：年初财政拨款结转和结余0.00万元，本年财政拨款收入3,606.26万元。财政拨款支出总计3,606.26万元，其中：年末财政拨款结转和结余0.00万元，本年财政拨款支出3,606.26万元。</w:t>
      </w:r>
    </w:p>
    <w:p w:rsidR="00E747DD" w:rsidRDefault="00C62FA5" w:rsidP="00E747DD">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财政拨款收入支出总体与上年相比，减少19.31万元，下降0.53%，主要原因是：</w:t>
      </w:r>
      <w:r w:rsidR="00E747DD">
        <w:rPr>
          <w:rFonts w:ascii="仿宋_GB2312" w:eastAsia="仿宋_GB2312"/>
          <w:sz w:val="32"/>
          <w:szCs w:val="32"/>
          <w:lang w:eastAsia="zh-CN"/>
        </w:rPr>
        <w:t>根据</w:t>
      </w:r>
      <w:r w:rsidR="00E747DD">
        <w:rPr>
          <w:rFonts w:ascii="仿宋_GB2312" w:eastAsia="仿宋_GB2312"/>
          <w:sz w:val="32"/>
          <w:szCs w:val="32"/>
          <w:lang w:eastAsia="zh-CN"/>
        </w:rPr>
        <w:t>“</w:t>
      </w:r>
      <w:r w:rsidR="00E747DD">
        <w:rPr>
          <w:rFonts w:ascii="仿宋_GB2312" w:eastAsia="仿宋_GB2312"/>
          <w:sz w:val="32"/>
          <w:szCs w:val="32"/>
          <w:lang w:eastAsia="zh-CN"/>
        </w:rPr>
        <w:t>两品</w:t>
      </w:r>
      <w:proofErr w:type="gramStart"/>
      <w:r w:rsidR="00E747DD">
        <w:rPr>
          <w:rFonts w:ascii="仿宋_GB2312" w:eastAsia="仿宋_GB2312"/>
          <w:sz w:val="32"/>
          <w:szCs w:val="32"/>
          <w:lang w:eastAsia="zh-CN"/>
        </w:rPr>
        <w:t>一</w:t>
      </w:r>
      <w:proofErr w:type="gramEnd"/>
      <w:r w:rsidR="00E747DD">
        <w:rPr>
          <w:rFonts w:ascii="仿宋_GB2312" w:eastAsia="仿宋_GB2312"/>
          <w:sz w:val="32"/>
          <w:szCs w:val="32"/>
          <w:lang w:eastAsia="zh-CN"/>
        </w:rPr>
        <w:t>械</w:t>
      </w:r>
      <w:r w:rsidR="00E747DD">
        <w:rPr>
          <w:rFonts w:ascii="仿宋_GB2312" w:eastAsia="仿宋_GB2312"/>
          <w:sz w:val="32"/>
          <w:szCs w:val="32"/>
          <w:lang w:eastAsia="zh-CN"/>
        </w:rPr>
        <w:t>”</w:t>
      </w:r>
      <w:r w:rsidR="00E747DD">
        <w:rPr>
          <w:rFonts w:ascii="仿宋_GB2312" w:eastAsia="仿宋_GB2312"/>
          <w:sz w:val="32"/>
          <w:szCs w:val="32"/>
          <w:lang w:eastAsia="zh-CN"/>
        </w:rPr>
        <w:t>日常监管及出差情况</w:t>
      </w:r>
      <w:r w:rsidR="00E747DD">
        <w:rPr>
          <w:rFonts w:ascii="仿宋_GB2312" w:eastAsia="仿宋_GB2312" w:hint="eastAsia"/>
          <w:sz w:val="32"/>
          <w:szCs w:val="32"/>
          <w:lang w:eastAsia="zh-CN"/>
        </w:rPr>
        <w:t>，</w:t>
      </w:r>
      <w:r w:rsidR="00E747DD">
        <w:rPr>
          <w:rFonts w:ascii="仿宋_GB2312" w:eastAsia="仿宋_GB2312"/>
          <w:sz w:val="32"/>
          <w:szCs w:val="32"/>
          <w:lang w:eastAsia="zh-CN"/>
        </w:rPr>
        <w:lastRenderedPageBreak/>
        <w:t>中央食品药品监管补助</w:t>
      </w:r>
      <w:r w:rsidR="00E747DD">
        <w:rPr>
          <w:rFonts w:ascii="仿宋_GB2312" w:eastAsia="仿宋_GB2312" w:hint="eastAsia"/>
          <w:sz w:val="32"/>
          <w:szCs w:val="32"/>
          <w:lang w:eastAsia="zh-CN"/>
        </w:rPr>
        <w:t>结转</w:t>
      </w:r>
      <w:r w:rsidR="00E747DD">
        <w:rPr>
          <w:rFonts w:ascii="仿宋_GB2312" w:eastAsia="仿宋_GB2312"/>
          <w:sz w:val="32"/>
          <w:szCs w:val="32"/>
          <w:lang w:eastAsia="zh-CN"/>
        </w:rPr>
        <w:t>资金</w:t>
      </w:r>
      <w:r w:rsidR="00E747DD">
        <w:rPr>
          <w:rFonts w:ascii="仿宋_GB2312" w:eastAsia="仿宋_GB2312" w:hint="eastAsia"/>
          <w:sz w:val="32"/>
          <w:szCs w:val="32"/>
          <w:lang w:eastAsia="zh-CN"/>
        </w:rPr>
        <w:t>比</w:t>
      </w:r>
      <w:r w:rsidR="00E747DD">
        <w:rPr>
          <w:rFonts w:ascii="仿宋_GB2312" w:eastAsia="仿宋_GB2312"/>
          <w:sz w:val="32"/>
          <w:szCs w:val="32"/>
          <w:lang w:eastAsia="zh-CN"/>
        </w:rPr>
        <w:t>上年减少，因此本年</w:t>
      </w:r>
      <w:r w:rsidR="00E747DD">
        <w:rPr>
          <w:rFonts w:ascii="仿宋_GB2312" w:eastAsia="仿宋_GB2312" w:hint="eastAsia"/>
          <w:sz w:val="32"/>
          <w:szCs w:val="32"/>
          <w:lang w:eastAsia="zh-CN"/>
        </w:rPr>
        <w:t>财政拨款</w:t>
      </w:r>
      <w:r w:rsidR="00E747DD">
        <w:rPr>
          <w:rFonts w:ascii="仿宋_GB2312" w:eastAsia="仿宋_GB2312"/>
          <w:sz w:val="32"/>
          <w:szCs w:val="32"/>
          <w:lang w:eastAsia="zh-CN"/>
        </w:rPr>
        <w:t>收入支出总体比上年减少。</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与年初预算相比，年初预算数2,978.16万元，决算数3,606.26万元，预决算差异率21.09%，主要原因是：一是年度考核绩效奖、职业年金、死亡抚恤金等基本支出均不在年初预算；二是中央食品药品监</w:t>
      </w:r>
      <w:r w:rsidR="00AD156D">
        <w:rPr>
          <w:rFonts w:ascii="仿宋_GB2312" w:eastAsia="仿宋_GB2312"/>
          <w:sz w:val="32"/>
          <w:szCs w:val="32"/>
          <w:lang w:eastAsia="zh-CN"/>
        </w:rPr>
        <w:t>管补助项目（第二批）未在年初预算时一并安排，因此预决算数有差异</w:t>
      </w:r>
      <w:r>
        <w:rPr>
          <w:rFonts w:ascii="仿宋_GB2312" w:eastAsia="仿宋_GB2312"/>
          <w:sz w:val="32"/>
          <w:szCs w:val="32"/>
          <w:lang w:eastAsia="zh-CN"/>
        </w:rPr>
        <w:t>。</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w:t>
      </w:r>
      <w:r w:rsidR="003420AA">
        <w:rPr>
          <w:rFonts w:ascii="仿宋_GB2312" w:eastAsia="仿宋_GB2312"/>
          <w:sz w:val="32"/>
          <w:szCs w:val="32"/>
          <w:lang w:eastAsia="zh-CN"/>
        </w:rPr>
        <w:t>优化支出结构，提高资金使用效率，合理保障人员</w:t>
      </w:r>
      <w:r w:rsidR="00A26B4B">
        <w:rPr>
          <w:rFonts w:ascii="仿宋_GB2312" w:eastAsia="仿宋_GB2312" w:hint="eastAsia"/>
          <w:sz w:val="32"/>
          <w:szCs w:val="32"/>
          <w:lang w:eastAsia="zh-CN"/>
        </w:rPr>
        <w:t>类</w:t>
      </w:r>
      <w:r w:rsidR="00A26B4B">
        <w:rPr>
          <w:rFonts w:ascii="仿宋_GB2312" w:eastAsia="仿宋_GB2312"/>
          <w:sz w:val="32"/>
          <w:szCs w:val="32"/>
          <w:lang w:eastAsia="zh-CN"/>
        </w:rPr>
        <w:t>、</w:t>
      </w:r>
      <w:r w:rsidR="003420AA">
        <w:rPr>
          <w:rFonts w:ascii="仿宋_GB2312" w:eastAsia="仿宋_GB2312"/>
          <w:sz w:val="32"/>
          <w:szCs w:val="32"/>
          <w:lang w:eastAsia="zh-CN"/>
        </w:rPr>
        <w:t>运转</w:t>
      </w:r>
      <w:r w:rsidR="00A26B4B">
        <w:rPr>
          <w:rFonts w:ascii="仿宋_GB2312" w:eastAsia="仿宋_GB2312" w:hint="eastAsia"/>
          <w:sz w:val="32"/>
          <w:szCs w:val="32"/>
          <w:lang w:eastAsia="zh-CN"/>
        </w:rPr>
        <w:t>类</w:t>
      </w:r>
      <w:r w:rsidR="00A26B4B">
        <w:rPr>
          <w:rFonts w:ascii="仿宋_GB2312" w:eastAsia="仿宋_GB2312"/>
          <w:sz w:val="32"/>
          <w:szCs w:val="32"/>
          <w:lang w:eastAsia="zh-CN"/>
        </w:rPr>
        <w:t>、特定目标类</w:t>
      </w:r>
      <w:r>
        <w:rPr>
          <w:rFonts w:ascii="仿宋_GB2312" w:eastAsia="仿宋_GB2312"/>
          <w:sz w:val="32"/>
          <w:szCs w:val="32"/>
          <w:lang w:eastAsia="zh-CN"/>
        </w:rPr>
        <w:t>等重点支出，体现在有关支出科目中。</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按照支出功能分类，一般公共服务支出（类）市场监督管理事务（款）行政运行（项）的支出占本年财政拨款支出总额的比重最高，2025年度决算数为1,621.21万元，占比44.96%，主要用于人员工资、单位基本运转。</w:t>
      </w:r>
      <w:bookmarkStart w:id="0" w:name="_GoBack"/>
      <w:bookmarkEnd w:id="0"/>
    </w:p>
    <w:p w:rsidR="00CA2409" w:rsidRDefault="00C62FA5">
      <w:pPr>
        <w:spacing w:after="0" w:line="240" w:lineRule="auto"/>
        <w:ind w:firstLineChars="200" w:firstLine="64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2025年度一般公共预算财政拨款支出3,606.26</w:t>
      </w:r>
      <w:r w:rsidR="00057E93">
        <w:rPr>
          <w:rFonts w:ascii="仿宋_GB2312" w:eastAsia="仿宋_GB2312"/>
          <w:sz w:val="32"/>
          <w:szCs w:val="32"/>
          <w:lang w:eastAsia="zh-CN"/>
        </w:rPr>
        <w:t>万元，占本年支出合计</w:t>
      </w:r>
      <w:r w:rsidR="00057E93">
        <w:rPr>
          <w:rFonts w:ascii="仿宋_GB2312" w:eastAsia="仿宋_GB2312" w:hint="eastAsia"/>
          <w:sz w:val="32"/>
          <w:szCs w:val="32"/>
          <w:lang w:eastAsia="zh-CN"/>
        </w:rPr>
        <w:t>的</w:t>
      </w:r>
      <w:r>
        <w:rPr>
          <w:rFonts w:ascii="仿宋_GB2312" w:eastAsia="仿宋_GB2312"/>
          <w:sz w:val="32"/>
          <w:szCs w:val="32"/>
          <w:lang w:eastAsia="zh-CN"/>
        </w:rPr>
        <w:t>99.45%。与上年相比，增加18.52万元，增长0.52%，主要原因是：本年将在职人员职</w:t>
      </w:r>
      <w:r w:rsidR="00057E93">
        <w:rPr>
          <w:rFonts w:ascii="仿宋_GB2312" w:eastAsia="仿宋_GB2312"/>
          <w:sz w:val="32"/>
          <w:szCs w:val="32"/>
          <w:lang w:eastAsia="zh-CN"/>
        </w:rPr>
        <w:t>业年金单位部分全部记实，因此一般公共预算财政拨款支出比上年增加</w:t>
      </w:r>
      <w:r>
        <w:rPr>
          <w:rFonts w:ascii="仿宋_GB2312" w:eastAsia="仿宋_GB2312"/>
          <w:sz w:val="32"/>
          <w:szCs w:val="32"/>
          <w:lang w:eastAsia="zh-CN"/>
        </w:rPr>
        <w:t>。与年初预算相比，年初预算数2,978.16万元，决算数3,606.26万元，预决算差异率21.09%，主要原因是：一是年度考核绩效奖、职业年金、死亡抚恤金等基本支出均不在年初预算；二是中央食品药品监管</w:t>
      </w:r>
      <w:r w:rsidR="00C715E7">
        <w:rPr>
          <w:rFonts w:ascii="仿宋_GB2312" w:eastAsia="仿宋_GB2312"/>
          <w:sz w:val="32"/>
          <w:szCs w:val="32"/>
          <w:lang w:eastAsia="zh-CN"/>
        </w:rPr>
        <w:t>补助项目（第二批）未在年初预算时一并安排，因此预决算数有差异。</w:t>
      </w:r>
    </w:p>
    <w:p w:rsidR="00CA2409" w:rsidRDefault="00C62FA5">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1.一般公共服务支出（类）2,816.47万元，占78.10%。</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2.社会保障和就业支出（类）487.46万元，占13.52%。</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3.卫生健康支出（类）167.15万元，占4.63%。</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4.住房保障支出（类）135.20万元，占3.75%。</w:t>
      </w:r>
    </w:p>
    <w:p w:rsidR="00CA2409" w:rsidRDefault="00C62FA5">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（三）一般公共预算财政拨款支出决算具体情况</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市场监督管理事务（款）行政运行（项）：支出决算数为1,621.21万元，比上年决算减少157.01万元，下降8.83%，主要原因是：本年将事业人员工资从该科目调至到【2013850】事业运行科目中支出，因此本科目支出比上年减少。</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2、一般公共服务支出（类）市场监督管理事务（款）药品事务（项）：支出决算数为1,040.93万元，比上年决算减少92.98万元，下降8.20%，主要原因是：一是本年减少罚没物品处置费用；二是</w:t>
      </w:r>
      <w:r>
        <w:rPr>
          <w:rFonts w:ascii="仿宋_GB2312" w:eastAsia="仿宋_GB2312"/>
          <w:sz w:val="32"/>
          <w:szCs w:val="32"/>
          <w:lang w:eastAsia="zh-CN"/>
        </w:rPr>
        <w:t>“</w:t>
      </w:r>
      <w:r>
        <w:rPr>
          <w:rFonts w:ascii="仿宋_GB2312" w:eastAsia="仿宋_GB2312"/>
          <w:sz w:val="32"/>
          <w:szCs w:val="32"/>
          <w:lang w:eastAsia="zh-CN"/>
        </w:rPr>
        <w:t>两品</w:t>
      </w:r>
      <w:proofErr w:type="gramStart"/>
      <w:r>
        <w:rPr>
          <w:rFonts w:ascii="仿宋_GB2312" w:eastAsia="仿宋_GB2312"/>
          <w:sz w:val="32"/>
          <w:szCs w:val="32"/>
          <w:lang w:eastAsia="zh-CN"/>
        </w:rPr>
        <w:t>一</w:t>
      </w:r>
      <w:proofErr w:type="gramEnd"/>
      <w:r>
        <w:rPr>
          <w:rFonts w:ascii="仿宋_GB2312" w:eastAsia="仿宋_GB2312"/>
          <w:sz w:val="32"/>
          <w:szCs w:val="32"/>
          <w:lang w:eastAsia="zh-CN"/>
        </w:rPr>
        <w:t>械</w:t>
      </w:r>
      <w:r>
        <w:rPr>
          <w:rFonts w:ascii="仿宋_GB2312" w:eastAsia="仿宋_GB2312"/>
          <w:sz w:val="32"/>
          <w:szCs w:val="32"/>
          <w:lang w:eastAsia="zh-CN"/>
        </w:rPr>
        <w:t>”</w:t>
      </w:r>
      <w:r>
        <w:rPr>
          <w:rFonts w:ascii="仿宋_GB2312" w:eastAsia="仿宋_GB2312"/>
          <w:sz w:val="32"/>
          <w:szCs w:val="32"/>
          <w:lang w:eastAsia="zh-CN"/>
        </w:rPr>
        <w:t>相关委托服务项目低价中标服务费减少；因此本科目支出比上年减少。</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市场监督管理事务（款）事业运行（项）：支出决算数为154.33万元，比上年决算增加154.33万元，增长100.00%，主要原因是：本年将事业人员工资从【2013801】行政运行科目调至到本科目中支出，因此本科目支出比上年增加。</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行政单位离退休（项）：支出决算数为205.32万元，比上年决算增加25.87万元，增长14.42%，主要原因是：退休人员绩效考核奖发放标准增加，因此本科目支出比上年增加。</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169.23万元，比上年决算减少2.97万元，下降1.72%，主要原因是：本年公务员全年人员数比上年减少，基本养老保险缴费支出相应减少，因此本科目支出比上年减少。</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112.91万元，比上年决算增加79.52万元，增长238.16%，主要原因是：本年将在职人员职业年金单位部分全部记实，因此本科目支出比上年增加。</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7、卫生健康支出（类）行政事业单位医疗（款）行政单位医疗（项）：支出决算数为81.23万元，比上年决算减少1.67万元，下降2.01%，主要原因是：本年2月调高基本医疗缴费比例但同时将事业人员基本</w:t>
      </w:r>
      <w:proofErr w:type="gramStart"/>
      <w:r>
        <w:rPr>
          <w:rFonts w:ascii="仿宋_GB2312" w:eastAsia="仿宋_GB2312"/>
          <w:sz w:val="32"/>
          <w:szCs w:val="32"/>
          <w:lang w:eastAsia="zh-CN"/>
        </w:rPr>
        <w:t>医疗从</w:t>
      </w:r>
      <w:proofErr w:type="gramEnd"/>
      <w:r>
        <w:rPr>
          <w:rFonts w:ascii="仿宋_GB2312" w:eastAsia="仿宋_GB2312"/>
          <w:sz w:val="32"/>
          <w:szCs w:val="32"/>
          <w:lang w:eastAsia="zh-CN"/>
        </w:rPr>
        <w:t>本科目调至【2101102】事业单位医疗科目中支出，因此本科目支出比上年略微减少。</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事业单位医疗（项）：支出决算数为11.65万元，比上年决算增加11.65万元，增长100.00%，主要原因是：本年将事业人员医疗保险缴费从【2101101】行政单位医疗科目中调至到本科目支出，因此本科目支出比上年增加。</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公务员医疗补助（项）：支出决算数为74.27万元，比上年决算减少1.21万元，下降1.60%，主要原因是：本年公务员全年人员数比上年减少，公务员医疗补助支出相应减少，因此本科目支出比上年减少。</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10、住房保障支出（类）住房改革支出（款）住房公积金（项）：支出决算数为135.20万元，比上年决算增加3.02万元，增长2.28%</w:t>
      </w:r>
      <w:r w:rsidR="00D001CB">
        <w:rPr>
          <w:rFonts w:ascii="仿宋_GB2312" w:eastAsia="仿宋_GB2312"/>
          <w:sz w:val="32"/>
          <w:szCs w:val="32"/>
          <w:lang w:eastAsia="zh-CN"/>
        </w:rPr>
        <w:t>，主要原因是：七月份根据人员工资情况调整住房公积金缴费基数，</w:t>
      </w:r>
      <w:r>
        <w:rPr>
          <w:rFonts w:ascii="仿宋_GB2312" w:eastAsia="仿宋_GB2312"/>
          <w:sz w:val="32"/>
          <w:szCs w:val="32"/>
          <w:lang w:eastAsia="zh-CN"/>
        </w:rPr>
        <w:t>住房公积金缴费相应增加，因此本科目支出比上年增加。</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2,565.34万元，其中：人员经费2,216.89万元，包括：基本工资、津贴补贴、奖金、绩效工资、机关事业单位基本养老保险缴费、职业年金缴费、职工基本医疗保险缴费、公务员医疗补助缴费、其他社会保障缴费、住房公积金、其他工资福利支出、退休费、抚恤金、生活补助、奖励金和其他对个人和家庭的补助。</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348.45万元，包括：办公费、水费、电费、取暖费、物业管理费、差旅费、维修（护）费、租赁费、培训费、公务接待费、委托业务费、工会经费、福利费、公务用车运行维护费、其他商品和服务支出和专用设备购置。</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七、政府性基金预算财政拨款收入支出决算情况说明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63.20万元，比上年减少21.97万元，下降25.80%，主要原因是：一是加强公务用车日常调度与维护，有效降低车辆运行成本；二是规范公务接待管理，严格执行陪餐人数及用餐标准，同时其他省局来疆调研批数与人数比上年减少，因此</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sidR="00B45C0D">
        <w:rPr>
          <w:rFonts w:ascii="仿宋_GB2312" w:eastAsia="仿宋_GB2312"/>
          <w:sz w:val="32"/>
          <w:szCs w:val="32"/>
          <w:lang w:eastAsia="zh-CN"/>
        </w:rPr>
        <w:t>经费支出比上年减少。</w:t>
      </w:r>
      <w:r>
        <w:rPr>
          <w:rFonts w:ascii="仿宋_GB2312" w:eastAsia="仿宋_GB2312"/>
          <w:sz w:val="32"/>
          <w:szCs w:val="32"/>
          <w:lang w:eastAsia="zh-CN"/>
        </w:rPr>
        <w:t>其中：因公出国（境）费用支出0.00万元,占0.00%，与上年相比无变化，主要原因是：本单位未安排因公出国（境）支出；公务用车购置及运行维护费支出62.00万元，占98.10%，比上年减少18.56万元，下降23.04%，主要原因是：加强公务用车日常调度与维护，有效降低车辆运行成本，因此公务用车运行维护费支出比上年减少；公务接待费支出1.20万元，占1.90%，比上年减少3.41万元，下降73.97%，主要原因是：规范公务接待管理，严格执行陪餐人数及用餐标准，同时其他省局来疆调研批数与人数比上年减少，因此公务接待费支出比上年减少。</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因公出国（境）费用0.00万元，开支内容包括本单位未安排因公出国（境）。单位全年安排的因公出国（境）团组0个，因公出国（境）0人次。</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公务用车购置及运行维护费62.00万元，其中：公务用车购置费17.98万元，公务用车运行维护费44.02万元。公务用车运行维护费开支内容包括</w:t>
      </w:r>
      <w:r>
        <w:rPr>
          <w:rFonts w:ascii="仿宋_GB2312" w:eastAsia="仿宋_GB2312"/>
          <w:sz w:val="32"/>
          <w:szCs w:val="32"/>
          <w:lang w:eastAsia="zh-CN"/>
        </w:rPr>
        <w:t>“</w:t>
      </w:r>
      <w:r>
        <w:rPr>
          <w:rFonts w:ascii="仿宋_GB2312" w:eastAsia="仿宋_GB2312"/>
          <w:sz w:val="32"/>
          <w:szCs w:val="32"/>
          <w:lang w:eastAsia="zh-CN"/>
        </w:rPr>
        <w:t>两品</w:t>
      </w:r>
      <w:proofErr w:type="gramStart"/>
      <w:r>
        <w:rPr>
          <w:rFonts w:ascii="仿宋_GB2312" w:eastAsia="仿宋_GB2312"/>
          <w:sz w:val="32"/>
          <w:szCs w:val="32"/>
          <w:lang w:eastAsia="zh-CN"/>
        </w:rPr>
        <w:t>一</w:t>
      </w:r>
      <w:proofErr w:type="gramEnd"/>
      <w:r>
        <w:rPr>
          <w:rFonts w:ascii="仿宋_GB2312" w:eastAsia="仿宋_GB2312"/>
          <w:sz w:val="32"/>
          <w:szCs w:val="32"/>
          <w:lang w:eastAsia="zh-CN"/>
        </w:rPr>
        <w:t>械</w:t>
      </w:r>
      <w:r>
        <w:rPr>
          <w:rFonts w:ascii="仿宋_GB2312" w:eastAsia="仿宋_GB2312"/>
          <w:sz w:val="32"/>
          <w:szCs w:val="32"/>
          <w:lang w:eastAsia="zh-CN"/>
        </w:rPr>
        <w:t>”</w:t>
      </w:r>
      <w:r>
        <w:rPr>
          <w:rFonts w:ascii="仿宋_GB2312" w:eastAsia="仿宋_GB2312"/>
          <w:sz w:val="32"/>
          <w:szCs w:val="32"/>
          <w:lang w:eastAsia="zh-CN"/>
        </w:rPr>
        <w:t>监管车辆的燃油费、保险费、维修维护费及审验费、过桥过路费。公务用车购置数1</w:t>
      </w:r>
      <w:r>
        <w:rPr>
          <w:rFonts w:ascii="仿宋_GB2312" w:eastAsia="仿宋_GB2312"/>
          <w:sz w:val="32"/>
          <w:szCs w:val="32"/>
          <w:lang w:eastAsia="zh-CN"/>
        </w:rPr>
        <w:lastRenderedPageBreak/>
        <w:t>辆，公务用车保有量25辆。国有资产占用情况中固定资产车辆25辆，与公务用车保有量差异原因是：固定资产车辆数与公务用车</w:t>
      </w:r>
      <w:proofErr w:type="gramStart"/>
      <w:r>
        <w:rPr>
          <w:rFonts w:ascii="仿宋_GB2312" w:eastAsia="仿宋_GB2312"/>
          <w:sz w:val="32"/>
          <w:szCs w:val="32"/>
          <w:lang w:eastAsia="zh-CN"/>
        </w:rPr>
        <w:t>保有数</w:t>
      </w:r>
      <w:proofErr w:type="gramEnd"/>
      <w:r>
        <w:rPr>
          <w:rFonts w:ascii="仿宋_GB2312" w:eastAsia="仿宋_GB2312"/>
          <w:sz w:val="32"/>
          <w:szCs w:val="32"/>
          <w:lang w:eastAsia="zh-CN"/>
        </w:rPr>
        <w:t>一致，无差异。</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公务接待费1.20万元，开支内容包括国家局及其他省局来疆调研的公务接待。单位全年安排的国内公务接待12批次，68人次。</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经费支出全年预算数63.20万元，决算数63.20万元，预决算差异率0.00%，主要原因是：单位严格按照预算支出，因此</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经费支出全年预算数与</w:t>
      </w:r>
      <w:proofErr w:type="gramStart"/>
      <w:r>
        <w:rPr>
          <w:rFonts w:ascii="仿宋_GB2312" w:eastAsia="仿宋_GB2312"/>
          <w:sz w:val="32"/>
          <w:szCs w:val="32"/>
          <w:lang w:eastAsia="zh-CN"/>
        </w:rPr>
        <w:t>决算数无差异</w:t>
      </w:r>
      <w:proofErr w:type="gramEnd"/>
      <w:r>
        <w:rPr>
          <w:rFonts w:ascii="仿宋_GB2312" w:eastAsia="仿宋_GB2312"/>
          <w:sz w:val="32"/>
          <w:szCs w:val="32"/>
          <w:lang w:eastAsia="zh-CN"/>
        </w:rPr>
        <w:t>。其中：因公出国（境）费用全年预算数0.00万元，决算数0.00万元，预决算差异率0.00%，主要原因是：单位未安排因公出国（境）费支出；公务用车购置费全年预算数17.98万元，决算数17.98万元，预决算差异率0.00%，主要原因是：单位严格按照预算支出，因此公务用车购置费支出全年预算数与</w:t>
      </w:r>
      <w:proofErr w:type="gramStart"/>
      <w:r>
        <w:rPr>
          <w:rFonts w:ascii="仿宋_GB2312" w:eastAsia="仿宋_GB2312"/>
          <w:sz w:val="32"/>
          <w:szCs w:val="32"/>
          <w:lang w:eastAsia="zh-CN"/>
        </w:rPr>
        <w:t>决算数无差异</w:t>
      </w:r>
      <w:proofErr w:type="gramEnd"/>
      <w:r>
        <w:rPr>
          <w:rFonts w:ascii="仿宋_GB2312" w:eastAsia="仿宋_GB2312"/>
          <w:sz w:val="32"/>
          <w:szCs w:val="32"/>
          <w:lang w:eastAsia="zh-CN"/>
        </w:rPr>
        <w:t>；公务用车运行维护费全年预算数44.02万元，决算数44.02万元，预决算差异率0.00%，主要原因是：单位严格按照预算支出，因此公务用车运行维护费支出全年预算数与</w:t>
      </w:r>
      <w:proofErr w:type="gramStart"/>
      <w:r>
        <w:rPr>
          <w:rFonts w:ascii="仿宋_GB2312" w:eastAsia="仿宋_GB2312"/>
          <w:sz w:val="32"/>
          <w:szCs w:val="32"/>
          <w:lang w:eastAsia="zh-CN"/>
        </w:rPr>
        <w:t>决算数无差异</w:t>
      </w:r>
      <w:proofErr w:type="gramEnd"/>
      <w:r>
        <w:rPr>
          <w:rFonts w:ascii="仿宋_GB2312" w:eastAsia="仿宋_GB2312"/>
          <w:sz w:val="32"/>
          <w:szCs w:val="32"/>
          <w:lang w:eastAsia="zh-CN"/>
        </w:rPr>
        <w:t>；公务接待费全年预算数1.20万元，决算数1.20万元，预决算差异率0.00%，主要原因是：单位严格按照预算支出，因此公务接待费支出全年预算数与</w:t>
      </w:r>
      <w:proofErr w:type="gramStart"/>
      <w:r>
        <w:rPr>
          <w:rFonts w:ascii="仿宋_GB2312" w:eastAsia="仿宋_GB2312"/>
          <w:sz w:val="32"/>
          <w:szCs w:val="32"/>
          <w:lang w:eastAsia="zh-CN"/>
        </w:rPr>
        <w:t>决算数无差异</w:t>
      </w:r>
      <w:proofErr w:type="gramEnd"/>
      <w:r>
        <w:rPr>
          <w:rFonts w:ascii="仿宋_GB2312" w:eastAsia="仿宋_GB2312"/>
          <w:sz w:val="32"/>
          <w:szCs w:val="32"/>
          <w:lang w:eastAsia="zh-CN"/>
        </w:rPr>
        <w:t>。</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rsidR="00CA2409" w:rsidRDefault="00C62FA5">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2025年度新疆维吾尔自治区药品监督管理局（本级）机关运行经费支出348.45万元，比上年增加19.58万元，增长5.95%，主要原因是：本年新增残疾人保障金缴费，因此机关运行经费支出比上年</w:t>
      </w:r>
      <w:r w:rsidR="00B45C0D">
        <w:rPr>
          <w:rFonts w:ascii="仿宋_GB2312" w:eastAsia="仿宋_GB2312"/>
          <w:sz w:val="32"/>
          <w:szCs w:val="32"/>
          <w:lang w:eastAsia="zh-CN"/>
        </w:rPr>
        <w:t>增加</w:t>
      </w:r>
      <w:r>
        <w:rPr>
          <w:rFonts w:ascii="仿宋_GB2312" w:eastAsia="仿宋_GB2312"/>
          <w:sz w:val="32"/>
          <w:szCs w:val="32"/>
          <w:lang w:eastAsia="zh-CN"/>
        </w:rPr>
        <w:t>。</w:t>
      </w:r>
    </w:p>
    <w:p w:rsidR="00CA2409" w:rsidRDefault="00C62FA5">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2025年度政府采购支出总额156.15万元，其中：政府采购货物支出98.35万元、政府采购工程支出0.00万元、政府采购服务支出57.80万元。</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授予中小企业合同金额85.64万元，占政府采购支出总额的54.84%，其中：授予小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合同金额46.53万元，占政府采购支出总额的29.80%。</w:t>
      </w:r>
    </w:p>
    <w:p w:rsidR="00CA2409" w:rsidRDefault="00C62FA5">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rsidR="00CA2409" w:rsidRDefault="00C62FA5">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截至2025年12月31日，房屋19</w:t>
      </w:r>
      <w:proofErr w:type="gramStart"/>
      <w:r>
        <w:rPr>
          <w:rFonts w:ascii="仿宋_GB2312" w:eastAsia="仿宋_GB2312"/>
          <w:sz w:val="32"/>
          <w:szCs w:val="32"/>
        </w:rPr>
        <w:t>,503.66平方米</w:t>
      </w:r>
      <w:proofErr w:type="gramEnd"/>
      <w:r>
        <w:rPr>
          <w:rFonts w:ascii="仿宋_GB2312" w:eastAsia="仿宋_GB2312"/>
          <w:sz w:val="32"/>
          <w:szCs w:val="32"/>
        </w:rPr>
        <w:t>，价值7,476.72万元。</w:t>
      </w:r>
      <w:r>
        <w:rPr>
          <w:rFonts w:ascii="仿宋_GB2312" w:eastAsia="仿宋_GB2312"/>
          <w:sz w:val="32"/>
          <w:szCs w:val="32"/>
          <w:lang w:eastAsia="zh-CN"/>
        </w:rPr>
        <w:t>车辆25辆，价值622.58万元，其中：副部（省）级及以上领导用车0辆、主要负责人用车0辆、机要通信用车0辆、应急保障用车0辆、执法执勤用车13辆、特种专业技术用车0辆、离退休干部服务用车0辆、其他用车12辆，其他用车主要是：访</w:t>
      </w:r>
      <w:proofErr w:type="gramStart"/>
      <w:r>
        <w:rPr>
          <w:rFonts w:ascii="仿宋_GB2312" w:eastAsia="仿宋_GB2312"/>
          <w:sz w:val="32"/>
          <w:szCs w:val="32"/>
          <w:lang w:eastAsia="zh-CN"/>
        </w:rPr>
        <w:t>惠聚工作</w:t>
      </w:r>
      <w:proofErr w:type="gramEnd"/>
      <w:r>
        <w:rPr>
          <w:rFonts w:ascii="仿宋_GB2312" w:eastAsia="仿宋_GB2312"/>
          <w:sz w:val="32"/>
          <w:szCs w:val="32"/>
          <w:lang w:eastAsia="zh-CN"/>
        </w:rPr>
        <w:t>用车5辆，机动用车7辆;单价100万元（含）以上设备（不含车辆）1台（套）。</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rsidR="00A84DFD" w:rsidRDefault="00C62FA5" w:rsidP="00C72C3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根据预算绩效管理要求，本单位2025年度预算绩效评价项目2个，全年预算数240.00万元，全年执行数239.91万元。预算绩效管理取得的成效：一是预算绩效管理项目编制绩效目标，建立</w:t>
      </w:r>
      <w:r>
        <w:rPr>
          <w:rFonts w:ascii="仿宋_GB2312" w:eastAsia="仿宋_GB2312"/>
          <w:sz w:val="32"/>
          <w:szCs w:val="32"/>
          <w:lang w:eastAsia="zh-CN"/>
        </w:rPr>
        <w:t>“</w:t>
      </w:r>
      <w:r>
        <w:rPr>
          <w:rFonts w:ascii="仿宋_GB2312" w:eastAsia="仿宋_GB2312"/>
          <w:sz w:val="32"/>
          <w:szCs w:val="32"/>
          <w:lang w:eastAsia="zh-CN"/>
        </w:rPr>
        <w:t>事前有计划、事中有监控、事后有评价</w:t>
      </w:r>
      <w:r>
        <w:rPr>
          <w:rFonts w:ascii="仿宋_GB2312" w:eastAsia="仿宋_GB2312"/>
          <w:sz w:val="32"/>
          <w:szCs w:val="32"/>
          <w:lang w:eastAsia="zh-CN"/>
        </w:rPr>
        <w:t>”</w:t>
      </w:r>
      <w:r>
        <w:rPr>
          <w:rFonts w:ascii="仿宋_GB2312" w:eastAsia="仿宋_GB2312"/>
          <w:sz w:val="32"/>
          <w:szCs w:val="32"/>
          <w:lang w:eastAsia="zh-CN"/>
        </w:rPr>
        <w:t>的闭环机制；二是通过药品监管项目业务费开展</w:t>
      </w:r>
      <w:r>
        <w:rPr>
          <w:rFonts w:ascii="仿宋_GB2312" w:eastAsia="仿宋_GB2312"/>
          <w:sz w:val="32"/>
          <w:szCs w:val="32"/>
          <w:lang w:eastAsia="zh-CN"/>
        </w:rPr>
        <w:t>“</w:t>
      </w:r>
      <w:r>
        <w:rPr>
          <w:rFonts w:ascii="仿宋_GB2312" w:eastAsia="仿宋_GB2312"/>
          <w:sz w:val="32"/>
          <w:szCs w:val="32"/>
          <w:lang w:eastAsia="zh-CN"/>
        </w:rPr>
        <w:t>两品</w:t>
      </w:r>
      <w:proofErr w:type="gramStart"/>
      <w:r>
        <w:rPr>
          <w:rFonts w:ascii="仿宋_GB2312" w:eastAsia="仿宋_GB2312"/>
          <w:sz w:val="32"/>
          <w:szCs w:val="32"/>
          <w:lang w:eastAsia="zh-CN"/>
        </w:rPr>
        <w:t>一</w:t>
      </w:r>
      <w:proofErr w:type="gramEnd"/>
      <w:r>
        <w:rPr>
          <w:rFonts w:ascii="仿宋_GB2312" w:eastAsia="仿宋_GB2312"/>
          <w:sz w:val="32"/>
          <w:szCs w:val="32"/>
          <w:lang w:eastAsia="zh-CN"/>
        </w:rPr>
        <w:t>械</w:t>
      </w:r>
      <w:r>
        <w:rPr>
          <w:rFonts w:ascii="仿宋_GB2312" w:eastAsia="仿宋_GB2312"/>
          <w:sz w:val="32"/>
          <w:szCs w:val="32"/>
          <w:lang w:eastAsia="zh-CN"/>
        </w:rPr>
        <w:t>”</w:t>
      </w:r>
      <w:r>
        <w:rPr>
          <w:rFonts w:ascii="仿宋_GB2312" w:eastAsia="仿宋_GB2312"/>
          <w:sz w:val="32"/>
          <w:szCs w:val="32"/>
          <w:lang w:eastAsia="zh-CN"/>
        </w:rPr>
        <w:t>抽检、药品安全宣传周活动等，提升公众掌握</w:t>
      </w:r>
      <w:r>
        <w:rPr>
          <w:rFonts w:ascii="仿宋_GB2312" w:eastAsia="仿宋_GB2312"/>
          <w:sz w:val="32"/>
          <w:szCs w:val="32"/>
          <w:lang w:eastAsia="zh-CN"/>
        </w:rPr>
        <w:t>“</w:t>
      </w:r>
      <w:r>
        <w:rPr>
          <w:rFonts w:ascii="仿宋_GB2312" w:eastAsia="仿宋_GB2312"/>
          <w:sz w:val="32"/>
          <w:szCs w:val="32"/>
          <w:lang w:eastAsia="zh-CN"/>
        </w:rPr>
        <w:t>两品</w:t>
      </w:r>
      <w:proofErr w:type="gramStart"/>
      <w:r>
        <w:rPr>
          <w:rFonts w:ascii="仿宋_GB2312" w:eastAsia="仿宋_GB2312"/>
          <w:sz w:val="32"/>
          <w:szCs w:val="32"/>
          <w:lang w:eastAsia="zh-CN"/>
        </w:rPr>
        <w:t>一</w:t>
      </w:r>
      <w:proofErr w:type="gramEnd"/>
      <w:r>
        <w:rPr>
          <w:rFonts w:ascii="仿宋_GB2312" w:eastAsia="仿宋_GB2312"/>
          <w:sz w:val="32"/>
          <w:szCs w:val="32"/>
          <w:lang w:eastAsia="zh-CN"/>
        </w:rPr>
        <w:t>械</w:t>
      </w:r>
      <w:r>
        <w:rPr>
          <w:rFonts w:ascii="仿宋_GB2312" w:eastAsia="仿宋_GB2312"/>
          <w:sz w:val="32"/>
          <w:szCs w:val="32"/>
          <w:lang w:eastAsia="zh-CN"/>
        </w:rPr>
        <w:t>”</w:t>
      </w:r>
      <w:r>
        <w:rPr>
          <w:rFonts w:ascii="仿宋_GB2312" w:eastAsia="仿宋_GB2312"/>
          <w:sz w:val="32"/>
          <w:szCs w:val="32"/>
          <w:lang w:eastAsia="zh-CN"/>
        </w:rPr>
        <w:t>科普知识水平、减少假冒伪劣</w:t>
      </w:r>
      <w:r>
        <w:rPr>
          <w:rFonts w:ascii="仿宋_GB2312" w:eastAsia="仿宋_GB2312"/>
          <w:sz w:val="32"/>
          <w:szCs w:val="32"/>
          <w:lang w:eastAsia="zh-CN"/>
        </w:rPr>
        <w:t>“</w:t>
      </w:r>
      <w:r>
        <w:rPr>
          <w:rFonts w:ascii="仿宋_GB2312" w:eastAsia="仿宋_GB2312"/>
          <w:sz w:val="32"/>
          <w:szCs w:val="32"/>
          <w:lang w:eastAsia="zh-CN"/>
        </w:rPr>
        <w:t>两品</w:t>
      </w:r>
      <w:proofErr w:type="gramStart"/>
      <w:r>
        <w:rPr>
          <w:rFonts w:ascii="仿宋_GB2312" w:eastAsia="仿宋_GB2312"/>
          <w:sz w:val="32"/>
          <w:szCs w:val="32"/>
          <w:lang w:eastAsia="zh-CN"/>
        </w:rPr>
        <w:t>一</w:t>
      </w:r>
      <w:proofErr w:type="gramEnd"/>
      <w:r>
        <w:rPr>
          <w:rFonts w:ascii="仿宋_GB2312" w:eastAsia="仿宋_GB2312"/>
          <w:sz w:val="32"/>
          <w:szCs w:val="32"/>
          <w:lang w:eastAsia="zh-CN"/>
        </w:rPr>
        <w:t>械</w:t>
      </w:r>
      <w:r>
        <w:rPr>
          <w:rFonts w:ascii="仿宋_GB2312" w:eastAsia="仿宋_GB2312"/>
          <w:sz w:val="32"/>
          <w:szCs w:val="32"/>
          <w:lang w:eastAsia="zh-CN"/>
        </w:rPr>
        <w:t>”</w:t>
      </w:r>
      <w:r>
        <w:rPr>
          <w:rFonts w:ascii="仿宋_GB2312" w:eastAsia="仿宋_GB2312"/>
          <w:sz w:val="32"/>
          <w:szCs w:val="32"/>
          <w:lang w:eastAsia="zh-CN"/>
        </w:rPr>
        <w:t>制售行为。发现的问题及原因：一是部分绩效指标设置不够细化；二是绩效运行</w:t>
      </w:r>
      <w:r>
        <w:rPr>
          <w:rFonts w:ascii="仿宋_GB2312" w:eastAsia="仿宋_GB2312"/>
          <w:sz w:val="32"/>
          <w:szCs w:val="32"/>
          <w:lang w:eastAsia="zh-CN"/>
        </w:rPr>
        <w:t>“</w:t>
      </w:r>
      <w:r>
        <w:rPr>
          <w:rFonts w:ascii="仿宋_GB2312" w:eastAsia="仿宋_GB2312"/>
          <w:sz w:val="32"/>
          <w:szCs w:val="32"/>
          <w:lang w:eastAsia="zh-CN"/>
        </w:rPr>
        <w:t>双监控</w:t>
      </w:r>
      <w:r>
        <w:rPr>
          <w:rFonts w:ascii="仿宋_GB2312" w:eastAsia="仿宋_GB2312"/>
          <w:sz w:val="32"/>
          <w:szCs w:val="32"/>
          <w:lang w:eastAsia="zh-CN"/>
        </w:rPr>
        <w:t>”</w:t>
      </w:r>
      <w:r>
        <w:rPr>
          <w:rFonts w:ascii="仿宋_GB2312" w:eastAsia="仿宋_GB2312"/>
          <w:sz w:val="32"/>
          <w:szCs w:val="32"/>
          <w:lang w:eastAsia="zh-CN"/>
        </w:rPr>
        <w:t>主要停留在财务支出进度层面，对项目实际履职效能的动态监控不够。下一步改进措施：一是建立</w:t>
      </w:r>
      <w:r>
        <w:rPr>
          <w:rFonts w:ascii="仿宋_GB2312" w:eastAsia="仿宋_GB2312"/>
          <w:sz w:val="32"/>
          <w:szCs w:val="32"/>
          <w:lang w:eastAsia="zh-CN"/>
        </w:rPr>
        <w:t>“</w:t>
      </w:r>
      <w:r>
        <w:rPr>
          <w:rFonts w:ascii="仿宋_GB2312" w:eastAsia="仿宋_GB2312"/>
          <w:sz w:val="32"/>
          <w:szCs w:val="32"/>
          <w:lang w:eastAsia="zh-CN"/>
        </w:rPr>
        <w:t>财务+业务</w:t>
      </w:r>
      <w:r>
        <w:rPr>
          <w:rFonts w:ascii="仿宋_GB2312" w:eastAsia="仿宋_GB2312"/>
          <w:sz w:val="32"/>
          <w:szCs w:val="32"/>
          <w:lang w:eastAsia="zh-CN"/>
        </w:rPr>
        <w:t>”</w:t>
      </w:r>
      <w:r>
        <w:rPr>
          <w:rFonts w:ascii="仿宋_GB2312" w:eastAsia="仿宋_GB2312"/>
          <w:sz w:val="32"/>
          <w:szCs w:val="32"/>
          <w:lang w:eastAsia="zh-CN"/>
        </w:rPr>
        <w:t>联合机制，围绕药品监管核心职能，设置合理、可衡量的指标值；二是建立绩效评价结果与预算安排实质性挂钩机制，对评价等级为</w:t>
      </w:r>
      <w:r>
        <w:rPr>
          <w:rFonts w:ascii="仿宋_GB2312" w:eastAsia="仿宋_GB2312"/>
          <w:sz w:val="32"/>
          <w:szCs w:val="32"/>
          <w:lang w:eastAsia="zh-CN"/>
        </w:rPr>
        <w:t>“</w:t>
      </w:r>
      <w:r>
        <w:rPr>
          <w:rFonts w:ascii="仿宋_GB2312" w:eastAsia="仿宋_GB2312"/>
          <w:sz w:val="32"/>
          <w:szCs w:val="32"/>
          <w:lang w:eastAsia="zh-CN"/>
        </w:rPr>
        <w:t>优</w:t>
      </w:r>
      <w:r>
        <w:rPr>
          <w:rFonts w:ascii="仿宋_GB2312" w:eastAsia="仿宋_GB2312"/>
          <w:sz w:val="32"/>
          <w:szCs w:val="32"/>
          <w:lang w:eastAsia="zh-CN"/>
        </w:rPr>
        <w:t>”</w:t>
      </w:r>
      <w:r>
        <w:rPr>
          <w:rFonts w:ascii="仿宋_GB2312" w:eastAsia="仿宋_GB2312"/>
          <w:sz w:val="32"/>
          <w:szCs w:val="32"/>
          <w:lang w:eastAsia="zh-CN"/>
        </w:rPr>
        <w:t>的项目优先保障，实行</w:t>
      </w:r>
      <w:r>
        <w:rPr>
          <w:rFonts w:ascii="仿宋_GB2312" w:eastAsia="仿宋_GB2312"/>
          <w:sz w:val="32"/>
          <w:szCs w:val="32"/>
          <w:lang w:eastAsia="zh-CN"/>
        </w:rPr>
        <w:t>“</w:t>
      </w:r>
      <w:r>
        <w:rPr>
          <w:rFonts w:ascii="仿宋_GB2312" w:eastAsia="仿宋_GB2312"/>
          <w:sz w:val="32"/>
          <w:szCs w:val="32"/>
          <w:lang w:eastAsia="zh-CN"/>
        </w:rPr>
        <w:t>花钱必问效、无效必问责</w:t>
      </w:r>
      <w:r>
        <w:rPr>
          <w:rFonts w:ascii="仿宋_GB2312" w:eastAsia="仿宋_GB2312"/>
          <w:sz w:val="32"/>
          <w:szCs w:val="32"/>
          <w:lang w:eastAsia="zh-CN"/>
        </w:rPr>
        <w:t>”</w:t>
      </w:r>
      <w:r>
        <w:rPr>
          <w:rFonts w:ascii="仿宋_GB2312" w:eastAsia="仿宋_GB2312"/>
          <w:sz w:val="32"/>
          <w:szCs w:val="32"/>
          <w:lang w:eastAsia="zh-CN"/>
        </w:rPr>
        <w:t>。</w:t>
      </w:r>
      <w:r w:rsidR="00C72C38" w:rsidRPr="00C72C38">
        <w:rPr>
          <w:rFonts w:ascii="仿宋_GB2312" w:eastAsia="仿宋_GB2312"/>
          <w:sz w:val="32"/>
          <w:szCs w:val="32"/>
          <w:lang w:eastAsia="zh-CN"/>
        </w:rPr>
        <w:t xml:space="preserve"> </w:t>
      </w:r>
      <w:r w:rsidR="00C72C38" w:rsidRPr="00AE7FB4">
        <w:rPr>
          <w:rFonts w:ascii="仿宋_GB2312" w:eastAsia="仿宋_GB2312"/>
          <w:sz w:val="32"/>
          <w:szCs w:val="32"/>
          <w:lang w:eastAsia="zh-CN"/>
        </w:rPr>
        <w:t>具体</w:t>
      </w:r>
      <w:proofErr w:type="gramStart"/>
      <w:r w:rsidR="00C72C38" w:rsidRPr="00AE7FB4">
        <w:rPr>
          <w:rFonts w:ascii="仿宋_GB2312" w:eastAsia="仿宋_GB2312"/>
          <w:sz w:val="32"/>
          <w:szCs w:val="32"/>
          <w:lang w:eastAsia="zh-CN"/>
        </w:rPr>
        <w:t>附项目</w:t>
      </w:r>
      <w:proofErr w:type="gramEnd"/>
      <w:r w:rsidR="00C72C38" w:rsidRPr="00AE7FB4">
        <w:rPr>
          <w:rFonts w:ascii="仿宋_GB2312" w:eastAsia="仿宋_GB2312"/>
          <w:sz w:val="32"/>
          <w:szCs w:val="32"/>
          <w:lang w:eastAsia="zh-CN"/>
        </w:rPr>
        <w:t>支出绩效自评表</w:t>
      </w:r>
      <w:r w:rsidR="00C72C38" w:rsidRPr="00AE7FB4">
        <w:rPr>
          <w:rFonts w:ascii="仿宋_GB2312" w:eastAsia="仿宋_GB2312" w:hint="eastAsia"/>
          <w:sz w:val="32"/>
          <w:szCs w:val="32"/>
          <w:lang w:eastAsia="zh-CN"/>
        </w:rPr>
        <w:t>。</w:t>
      </w:r>
    </w:p>
    <w:p w:rsidR="00CA2409" w:rsidRDefault="00C62FA5">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rsidR="00C62FA5"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1.本单位上年结转中央转移支付食品药品监管项目2个，项目支出54.45万元，本年不进行绩效目标管理和绩效自评；</w:t>
      </w:r>
      <w:r>
        <w:rPr>
          <w:rFonts w:ascii="仿宋_GB2312" w:eastAsia="仿宋_GB2312" w:hint="eastAsia"/>
          <w:sz w:val="32"/>
          <w:szCs w:val="32"/>
          <w:lang w:eastAsia="zh-CN"/>
        </w:rPr>
        <w:t xml:space="preserve">   </w:t>
      </w:r>
    </w:p>
    <w:p w:rsidR="00CA2409" w:rsidRDefault="00C62FA5">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2.本年自治区抽检项目1个、中央食品药品监管项目（第一批）1个、中央食品药品监管项目（第二批）1个，由部门进行绩效目标管理、绩效自评及公开。</w:t>
      </w:r>
    </w:p>
    <w:p w:rsidR="00CA2409" w:rsidRDefault="00C62FA5">
      <w:pPr>
        <w:rPr>
          <w:lang w:eastAsia="zh-CN"/>
        </w:rPr>
      </w:pPr>
      <w:r>
        <w:rPr>
          <w:sz w:val="0"/>
          <w:szCs w:val="0"/>
          <w:lang w:eastAsia="zh-CN"/>
        </w:rPr>
        <w:br w:type="page"/>
      </w:r>
    </w:p>
    <w:p w:rsidR="00CA2409" w:rsidRDefault="00C62FA5">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上级补助收入</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以外的各项收入。</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lastRenderedPageBreak/>
        <w:t>十四、经营支出：</w:t>
      </w:r>
      <w:r>
        <w:rPr>
          <w:rFonts w:ascii="仿宋_GB2312" w:eastAsia="仿宋_GB2312"/>
          <w:sz w:val="32"/>
          <w:szCs w:val="32"/>
          <w:lang w:eastAsia="zh-CN"/>
        </w:rPr>
        <w:t>指事业单位在专业活动及辅助活动之外开展非独立核算经营活动发生的支出。</w:t>
      </w:r>
    </w:p>
    <w:p w:rsidR="00CA2409" w:rsidRDefault="00C62FA5">
      <w:pPr>
        <w:spacing w:after="0" w:line="240" w:lineRule="auto"/>
        <w:ind w:firstLineChars="200" w:firstLine="643"/>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十六、</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购置税、牌照费）；公务用车运行维护费反映单位按规定保留的公务用车燃料费、新能源汽车充电费、维修费、过路过桥费、保险费、安全奖励费用等支出；公务接待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rsidR="00CA2409" w:rsidRDefault="00C62FA5">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rsidR="00CA2409" w:rsidRDefault="00C62FA5">
      <w:pPr>
        <w:rPr>
          <w:lang w:eastAsia="zh-CN"/>
        </w:rPr>
      </w:pPr>
      <w:r>
        <w:rPr>
          <w:sz w:val="0"/>
          <w:szCs w:val="0"/>
          <w:lang w:eastAsia="zh-CN"/>
        </w:rPr>
        <w:br w:type="page"/>
      </w:r>
    </w:p>
    <w:p w:rsidR="00CA2409" w:rsidRDefault="00C62FA5">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CA2409" w:rsidRDefault="00C62FA5">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A2409">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overrideTableStyleFontSizeAndJustification" w:uri="http://schemas.microsoft.com/office/word" w:val="1"/>
  </w:compat>
  <w:rsids>
    <w:rsidRoot w:val="00CA2409"/>
    <w:rsid w:val="00057E93"/>
    <w:rsid w:val="00063398"/>
    <w:rsid w:val="003420AA"/>
    <w:rsid w:val="00446DDC"/>
    <w:rsid w:val="00452141"/>
    <w:rsid w:val="00511421"/>
    <w:rsid w:val="0064505A"/>
    <w:rsid w:val="00863D83"/>
    <w:rsid w:val="009C5372"/>
    <w:rsid w:val="00A1482F"/>
    <w:rsid w:val="00A26B4B"/>
    <w:rsid w:val="00A84DFD"/>
    <w:rsid w:val="00AC64BE"/>
    <w:rsid w:val="00AD156D"/>
    <w:rsid w:val="00B45C0D"/>
    <w:rsid w:val="00C62FA5"/>
    <w:rsid w:val="00C715E7"/>
    <w:rsid w:val="00C72C38"/>
    <w:rsid w:val="00CA2409"/>
    <w:rsid w:val="00D001CB"/>
    <w:rsid w:val="00E747DD"/>
    <w:rsid w:val="00F60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3EDF20-61AD-43CE-9A7B-5FC62DAB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5B9BD5"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5B9BD5"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5B9BD5" w:themeColor="accent1"/>
      <w:spacing w:val="15"/>
      <w:sz w:val="24"/>
      <w:szCs w:val="24"/>
    </w:rPr>
  </w:style>
  <w:style w:type="paragraph" w:styleId="a6">
    <w:name w:val="Title"/>
    <w:basedOn w:val="a"/>
    <w:next w:val="a"/>
    <w:link w:val="Char1"/>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563C1" w:themeColor="hyperlink"/>
      <w:u w:val="single"/>
    </w:rPr>
  </w:style>
  <w:style w:type="table" w:styleId="a9">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17</Pages>
  <Words>1327</Words>
  <Characters>7564</Characters>
  <Application>Microsoft Office Word</Application>
  <DocSecurity>0</DocSecurity>
  <Lines>63</Lines>
  <Paragraphs>17</Paragraphs>
  <ScaleCrop>false</ScaleCrop>
  <Company/>
  <LinksUpToDate>false</LinksUpToDate>
  <CharactersWithSpaces>8874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23</cp:revision>
  <dcterms:created xsi:type="dcterms:W3CDTF">2026-08-19T02:24:00Z</dcterms:created>
  <dcterms:modified xsi:type="dcterms:W3CDTF">2026-08-21T06:24:00Z</dcterms:modified>
</cp:coreProperties>
</file>