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bCs/>
          <w:color w:val="000000" w:themeColor="text1"/>
          <w:sz w:val="28"/>
          <w:szCs w:val="28"/>
          <w:highlight w:val="none"/>
          <w14:textFill>
            <w14:solidFill>
              <w14:schemeClr w14:val="tx1"/>
            </w14:solidFill>
          </w14:textFill>
        </w:rPr>
      </w:pPr>
      <w:r>
        <w:rPr>
          <w:rFonts w:hint="eastAsia" w:ascii="黑体" w:hAnsi="黑体" w:eastAsia="黑体" w:cs="黑体"/>
          <w:bCs/>
          <w:color w:val="000000" w:themeColor="text1"/>
          <w:sz w:val="32"/>
          <w:szCs w:val="32"/>
          <w:highlight w:val="none"/>
          <w14:textFill>
            <w14:solidFill>
              <w14:schemeClr w14:val="tx1"/>
            </w14:solidFill>
          </w14:textFill>
        </w:rPr>
        <w:t>附件</w:t>
      </w:r>
      <w:r>
        <w:rPr>
          <w:rFonts w:hint="eastAsia" w:ascii="黑体" w:hAnsi="黑体" w:eastAsia="黑体" w:cs="黑体"/>
          <w:color w:val="000000" w:themeColor="text1"/>
          <w:sz w:val="32"/>
          <w:szCs w:val="32"/>
          <w:highlight w:val="none"/>
          <w:lang w:val="en-US" w:eastAsia="zh-CN"/>
          <w14:textFill>
            <w14:solidFill>
              <w14:schemeClr w14:val="tx1"/>
            </w14:solidFill>
          </w14:textFill>
        </w:rPr>
        <w:t>2</w:t>
      </w:r>
      <w:r>
        <w:rPr>
          <w:rFonts w:hint="eastAsia" w:ascii="黑体" w:hAnsi="黑体" w:eastAsia="黑体" w:cs="黑体"/>
          <w:color w:val="000000" w:themeColor="text1"/>
          <w:sz w:val="28"/>
          <w:szCs w:val="28"/>
          <w:highlight w:val="none"/>
          <w14:textFill>
            <w14:solidFill>
              <w14:schemeClr w14:val="tx1"/>
            </w14:solidFill>
          </w14:textFill>
        </w:rPr>
        <w:t xml:space="preserve"> </w:t>
      </w:r>
      <w:r>
        <w:rPr>
          <w:color w:val="000000" w:themeColor="text1"/>
          <w:sz w:val="28"/>
          <w:szCs w:val="28"/>
          <w:highlight w:val="none"/>
          <w14:textFill>
            <w14:solidFill>
              <w14:schemeClr w14:val="tx1"/>
            </w14:solidFill>
          </w14:textFill>
        </w:rPr>
        <w:t xml:space="preserve">                          </w:t>
      </w:r>
      <w:bookmarkStart w:id="51" w:name="_GoBack"/>
      <w:bookmarkEnd w:id="51"/>
    </w:p>
    <w:p>
      <w:pPr>
        <w:spacing w:line="560" w:lineRule="exact"/>
        <w:jc w:val="both"/>
        <w:rPr>
          <w:color w:val="000000" w:themeColor="text1"/>
          <w:sz w:val="28"/>
          <w:szCs w:val="28"/>
          <w:highlight w:val="none"/>
          <w:u w:val="single"/>
          <w14:textFill>
            <w14:solidFill>
              <w14:schemeClr w14:val="tx1"/>
            </w14:solidFill>
          </w14:textFill>
        </w:rPr>
      </w:pPr>
    </w:p>
    <w:p>
      <w:pPr>
        <w:spacing w:line="560" w:lineRule="exact"/>
        <w:jc w:val="both"/>
        <w:rPr>
          <w:color w:val="000000" w:themeColor="text1"/>
          <w:sz w:val="28"/>
          <w:szCs w:val="28"/>
          <w:highlight w:val="none"/>
          <w:u w:val="single"/>
          <w14:textFill>
            <w14:solidFill>
              <w14:schemeClr w14:val="tx1"/>
            </w14:solidFill>
          </w14:textFill>
        </w:rPr>
      </w:pPr>
    </w:p>
    <w:p>
      <w:pPr>
        <w:spacing w:line="560" w:lineRule="exact"/>
        <w:jc w:val="both"/>
        <w:rPr>
          <w:color w:val="000000" w:themeColor="text1"/>
          <w:sz w:val="28"/>
          <w:szCs w:val="28"/>
          <w:highlight w:val="none"/>
          <w:u w:val="single"/>
          <w14:textFill>
            <w14:solidFill>
              <w14:schemeClr w14:val="tx1"/>
            </w14:solidFill>
          </w14:textFill>
        </w:rPr>
      </w:pPr>
    </w:p>
    <w:p>
      <w:pPr>
        <w:widowControl w:val="0"/>
        <w:snapToGrid w:val="0"/>
        <w:spacing w:line="288" w:lineRule="auto"/>
        <w:jc w:val="center"/>
        <w:rPr>
          <w:rFonts w:hint="default" w:ascii="Times New Roman" w:hAnsi="Times New Roman" w:eastAsia="黑体" w:cs="Times New Roman"/>
          <w:b/>
          <w:bCs/>
          <w:color w:val="000000" w:themeColor="text1"/>
          <w:sz w:val="56"/>
          <w:szCs w:val="56"/>
          <w:highlight w:val="none"/>
          <w14:textFill>
            <w14:solidFill>
              <w14:schemeClr w14:val="tx1"/>
            </w14:solidFill>
          </w14:textFill>
        </w:rPr>
      </w:pPr>
      <w:r>
        <w:rPr>
          <w:rFonts w:hint="eastAsia" w:eastAsia="黑体" w:cs="Times New Roman"/>
          <w:b/>
          <w:bCs/>
          <w:color w:val="000000" w:themeColor="text1"/>
          <w:sz w:val="56"/>
          <w:szCs w:val="56"/>
          <w:highlight w:val="none"/>
          <w:lang w:val="en-US" w:eastAsia="zh-CN"/>
          <w14:textFill>
            <w14:solidFill>
              <w14:schemeClr w14:val="tx1"/>
            </w14:solidFill>
          </w14:textFill>
        </w:rPr>
        <w:t>化妆品原料</w:t>
      </w:r>
      <w:r>
        <w:rPr>
          <w:rFonts w:hint="default" w:ascii="Times New Roman" w:hAnsi="Times New Roman" w:eastAsia="黑体" w:cs="Times New Roman"/>
          <w:b/>
          <w:bCs/>
          <w:color w:val="000000" w:themeColor="text1"/>
          <w:sz w:val="56"/>
          <w:szCs w:val="56"/>
          <w:highlight w:val="none"/>
          <w14:textFill>
            <w14:solidFill>
              <w14:schemeClr w14:val="tx1"/>
            </w14:solidFill>
          </w14:textFill>
        </w:rPr>
        <w:t>急性吸入毒性</w:t>
      </w:r>
      <w:r>
        <w:rPr>
          <w:rFonts w:hint="default" w:ascii="Times New Roman" w:hAnsi="Times New Roman" w:eastAsia="黑体" w:cs="Times New Roman"/>
          <w:b/>
          <w:bCs/>
          <w:color w:val="000000" w:themeColor="text1"/>
          <w:sz w:val="56"/>
          <w:szCs w:val="56"/>
          <w:highlight w:val="none"/>
          <w:lang w:val="en-US" w:eastAsia="zh-CN"/>
          <w14:textFill>
            <w14:solidFill>
              <w14:schemeClr w14:val="tx1"/>
            </w14:solidFill>
          </w14:textFill>
        </w:rPr>
        <w:t xml:space="preserve">试验 </w:t>
      </w:r>
      <w:r>
        <w:rPr>
          <w:rFonts w:hint="default" w:ascii="Times New Roman" w:hAnsi="Times New Roman" w:eastAsia="黑体" w:cs="Times New Roman"/>
          <w:b/>
          <w:bCs/>
          <w:color w:val="000000" w:themeColor="text1"/>
          <w:sz w:val="56"/>
          <w:szCs w:val="56"/>
          <w:highlight w:val="none"/>
          <w14:textFill>
            <w14:solidFill>
              <w14:schemeClr w14:val="tx1"/>
            </w14:solidFill>
          </w14:textFill>
        </w:rPr>
        <w:t>急性毒性</w:t>
      </w:r>
      <w:r>
        <w:rPr>
          <w:rFonts w:hint="eastAsia" w:eastAsia="黑体" w:cs="Times New Roman"/>
          <w:b/>
          <w:bCs/>
          <w:color w:val="000000" w:themeColor="text1"/>
          <w:sz w:val="56"/>
          <w:szCs w:val="56"/>
          <w:highlight w:val="none"/>
          <w:lang w:eastAsia="zh-CN"/>
          <w14:textFill>
            <w14:solidFill>
              <w14:schemeClr w14:val="tx1"/>
            </w14:solidFill>
          </w14:textFill>
        </w:rPr>
        <w:t>分类法</w:t>
      </w:r>
      <w:r>
        <w:rPr>
          <w:rFonts w:hint="eastAsia" w:eastAsia="黑体" w:cs="Times New Roman"/>
          <w:b/>
          <w:bCs/>
          <w:color w:val="000000" w:themeColor="text1"/>
          <w:sz w:val="56"/>
          <w:szCs w:val="56"/>
          <w:highlight w:val="none"/>
          <w:lang w:val="en-US" w:eastAsia="zh-CN"/>
          <w14:textFill>
            <w14:solidFill>
              <w14:schemeClr w14:val="tx1"/>
            </w14:solidFill>
          </w14:textFill>
        </w:rPr>
        <w:t>试验研究</w:t>
      </w:r>
      <w:r>
        <w:rPr>
          <w:rFonts w:hint="default" w:ascii="Times New Roman" w:hAnsi="Times New Roman" w:eastAsia="黑体" w:cs="Times New Roman"/>
          <w:b/>
          <w:bCs/>
          <w:color w:val="000000" w:themeColor="text1"/>
          <w:sz w:val="56"/>
          <w:szCs w:val="56"/>
          <w:highlight w:val="none"/>
          <w14:textFill>
            <w14:solidFill>
              <w14:schemeClr w14:val="tx1"/>
            </w14:solidFill>
          </w14:textFill>
        </w:rPr>
        <w:t>技术指导原则</w:t>
      </w:r>
    </w:p>
    <w:p>
      <w:pPr>
        <w:widowControl w:val="0"/>
        <w:snapToGrid w:val="0"/>
        <w:spacing w:line="288" w:lineRule="auto"/>
        <w:jc w:val="center"/>
        <w:rPr>
          <w:rFonts w:hint="default" w:ascii="Times New Roman" w:hAnsi="Times New Roman" w:eastAsia="黑体" w:cs="Times New Roman"/>
          <w:b/>
          <w:bCs/>
          <w:color w:val="000000" w:themeColor="text1"/>
          <w:sz w:val="56"/>
          <w:szCs w:val="56"/>
          <w:highlight w:val="none"/>
          <w14:textFill>
            <w14:solidFill>
              <w14:schemeClr w14:val="tx1"/>
            </w14:solidFill>
          </w14:textFill>
        </w:rPr>
      </w:pPr>
    </w:p>
    <w:p>
      <w:pPr>
        <w:spacing w:line="560" w:lineRule="exact"/>
        <w:jc w:val="center"/>
        <w:rPr>
          <w:color w:val="000000" w:themeColor="text1"/>
          <w:sz w:val="32"/>
          <w:szCs w:val="32"/>
          <w:highlight w:val="none"/>
          <w14:textFill>
            <w14:solidFill>
              <w14:schemeClr w14:val="tx1"/>
            </w14:solidFill>
          </w14:textFill>
        </w:rPr>
      </w:pPr>
    </w:p>
    <w:p>
      <w:pPr>
        <w:spacing w:line="560" w:lineRule="exact"/>
        <w:jc w:val="center"/>
        <w:rPr>
          <w:color w:val="000000" w:themeColor="text1"/>
          <w:sz w:val="28"/>
          <w:szCs w:val="28"/>
          <w:highlight w:val="none"/>
          <w14:textFill>
            <w14:solidFill>
              <w14:schemeClr w14:val="tx1"/>
            </w14:solidFill>
          </w14:textFill>
        </w:rPr>
      </w:pPr>
    </w:p>
    <w:p>
      <w:pPr>
        <w:spacing w:line="560" w:lineRule="exact"/>
        <w:jc w:val="center"/>
        <w:rPr>
          <w:color w:val="000000" w:themeColor="text1"/>
          <w:sz w:val="28"/>
          <w:szCs w:val="28"/>
          <w:highlight w:val="none"/>
          <w14:textFill>
            <w14:solidFill>
              <w14:schemeClr w14:val="tx1"/>
            </w14:solidFill>
          </w14:textFill>
        </w:rPr>
      </w:pPr>
    </w:p>
    <w:p>
      <w:pPr>
        <w:spacing w:line="560" w:lineRule="exact"/>
        <w:jc w:val="center"/>
        <w:rPr>
          <w:color w:val="000000" w:themeColor="text1"/>
          <w:sz w:val="28"/>
          <w:szCs w:val="28"/>
          <w:highlight w:val="none"/>
          <w14:textFill>
            <w14:solidFill>
              <w14:schemeClr w14:val="tx1"/>
            </w14:solidFill>
          </w14:textFill>
        </w:rPr>
      </w:pPr>
    </w:p>
    <w:p>
      <w:pPr>
        <w:spacing w:line="560" w:lineRule="exact"/>
        <w:jc w:val="center"/>
        <w:rPr>
          <w:color w:val="000000" w:themeColor="text1"/>
          <w:sz w:val="28"/>
          <w:szCs w:val="28"/>
          <w:highlight w:val="none"/>
          <w14:textFill>
            <w14:solidFill>
              <w14:schemeClr w14:val="tx1"/>
            </w14:solidFill>
          </w14:textFill>
        </w:rPr>
      </w:pPr>
    </w:p>
    <w:p>
      <w:pPr>
        <w:spacing w:line="560" w:lineRule="exact"/>
        <w:jc w:val="center"/>
        <w:rPr>
          <w:color w:val="000000" w:themeColor="text1"/>
          <w:sz w:val="28"/>
          <w:szCs w:val="28"/>
          <w:highlight w:val="none"/>
          <w14:textFill>
            <w14:solidFill>
              <w14:schemeClr w14:val="tx1"/>
            </w14:solidFill>
          </w14:textFill>
        </w:rPr>
      </w:pPr>
    </w:p>
    <w:p>
      <w:pPr>
        <w:spacing w:line="560" w:lineRule="exact"/>
        <w:jc w:val="center"/>
        <w:rPr>
          <w:color w:val="000000" w:themeColor="text1"/>
          <w:sz w:val="28"/>
          <w:szCs w:val="28"/>
          <w:highlight w:val="none"/>
          <w14:textFill>
            <w14:solidFill>
              <w14:schemeClr w14:val="tx1"/>
            </w14:solidFill>
          </w14:textFill>
        </w:rPr>
      </w:pPr>
    </w:p>
    <w:p>
      <w:pPr>
        <w:spacing w:line="560" w:lineRule="exact"/>
        <w:jc w:val="center"/>
        <w:rPr>
          <w:color w:val="000000" w:themeColor="text1"/>
          <w:sz w:val="28"/>
          <w:szCs w:val="28"/>
          <w:highlight w:val="none"/>
          <w14:textFill>
            <w14:solidFill>
              <w14:schemeClr w14:val="tx1"/>
            </w14:solidFill>
          </w14:textFill>
        </w:rPr>
      </w:pPr>
    </w:p>
    <w:p>
      <w:pPr>
        <w:spacing w:line="560" w:lineRule="exact"/>
        <w:jc w:val="center"/>
        <w:rPr>
          <w:color w:val="000000" w:themeColor="text1"/>
          <w:sz w:val="28"/>
          <w:szCs w:val="28"/>
          <w:highlight w:val="none"/>
          <w14:textFill>
            <w14:solidFill>
              <w14:schemeClr w14:val="tx1"/>
            </w14:solidFill>
          </w14:textFill>
        </w:rPr>
      </w:pPr>
    </w:p>
    <w:p>
      <w:pPr>
        <w:snapToGrid w:val="0"/>
        <w:spacing w:line="360" w:lineRule="auto"/>
        <w:jc w:val="center"/>
        <w:rPr>
          <w:rFonts w:ascii="Times New Roman" w:hAnsi="Times New Roman" w:eastAsia="楷体" w:cs="Times New Roman"/>
          <w:color w:val="000000" w:themeColor="text1"/>
          <w:sz w:val="44"/>
          <w:szCs w:val="44"/>
          <w:highlight w:val="none"/>
          <w14:textFill>
            <w14:solidFill>
              <w14:schemeClr w14:val="tx1"/>
            </w14:solidFill>
          </w14:textFill>
        </w:rPr>
      </w:pPr>
      <w:r>
        <w:rPr>
          <w:rFonts w:hint="default" w:ascii="Times New Roman" w:hAnsi="Times New Roman" w:eastAsia="楷体" w:cs="Times New Roman"/>
          <w:color w:val="000000" w:themeColor="text1"/>
          <w:sz w:val="44"/>
          <w:szCs w:val="44"/>
          <w:highlight w:val="none"/>
          <w14:textFill>
            <w14:solidFill>
              <w14:schemeClr w14:val="tx1"/>
            </w14:solidFill>
          </w14:textFill>
        </w:rPr>
        <w:t>中国食品药品检定研究院</w:t>
      </w:r>
    </w:p>
    <w:p>
      <w:pPr>
        <w:snapToGrid w:val="0"/>
        <w:spacing w:line="360" w:lineRule="auto"/>
        <w:jc w:val="center"/>
        <w:rPr>
          <w:rFonts w:ascii="Times New Roman" w:hAnsi="Times New Roman" w:eastAsia="楷体" w:cs="Times New Roman"/>
          <w:color w:val="000000" w:themeColor="text1"/>
          <w:sz w:val="40"/>
          <w:szCs w:val="40"/>
          <w:highlight w:val="none"/>
          <w14:textFill>
            <w14:solidFill>
              <w14:schemeClr w14:val="tx1"/>
            </w14:solidFill>
          </w14:textFill>
        </w:rPr>
      </w:pPr>
    </w:p>
    <w:p>
      <w:pPr>
        <w:spacing w:line="560" w:lineRule="exact"/>
        <w:jc w:val="center"/>
        <w:rPr>
          <w:rFonts w:hint="default" w:ascii="Times New Roman" w:hAnsi="Times New Roman" w:eastAsia="黑体" w:cs="Times New Roman"/>
          <w:color w:val="000000" w:themeColor="text1"/>
          <w:sz w:val="36"/>
          <w:szCs w:val="36"/>
          <w:highlight w:val="none"/>
          <w14:textFill>
            <w14:solidFill>
              <w14:schemeClr w14:val="tx1"/>
            </w14:solidFill>
          </w14:textFill>
        </w:rPr>
        <w:sectPr>
          <w:pgSz w:w="11906" w:h="16838"/>
          <w:pgMar w:top="1758" w:right="1588" w:bottom="1440" w:left="1588" w:header="851" w:footer="992" w:gutter="0"/>
          <w:pgNumType w:start="0"/>
          <w:cols w:space="720" w:num="1"/>
          <w:titlePg/>
          <w:docGrid w:type="lines" w:linePitch="312" w:charSpace="0"/>
        </w:sectPr>
      </w:pPr>
    </w:p>
    <w:p>
      <w:pPr>
        <w:ind w:firstLine="723" w:firstLineChars="200"/>
        <w:jc w:val="center"/>
        <w:rPr>
          <w:rFonts w:hint="default" w:ascii="Times New Roman" w:hAnsi="Times New Roman" w:eastAsia="黑体" w:cs="Times New Roman"/>
          <w:b/>
          <w:bCs/>
          <w:color w:val="000000" w:themeColor="text1"/>
          <w:sz w:val="30"/>
          <w:szCs w:val="30"/>
          <w:highlight w:val="none"/>
          <w14:textFill>
            <w14:solidFill>
              <w14:schemeClr w14:val="tx1"/>
            </w14:solidFill>
          </w14:textFill>
        </w:rPr>
      </w:pPr>
      <w:r>
        <w:rPr>
          <w:rFonts w:hint="default" w:ascii="Times New Roman" w:hAnsi="Times New Roman" w:eastAsia="黑体" w:cs="Times New Roman"/>
          <w:b/>
          <w:bCs/>
          <w:color w:val="000000" w:themeColor="text1"/>
          <w:sz w:val="36"/>
          <w:szCs w:val="36"/>
          <w:highlight w:val="none"/>
          <w:lang w:val="en-US" w:eastAsia="zh-CN"/>
          <w14:textFill>
            <w14:solidFill>
              <w14:schemeClr w14:val="tx1"/>
            </w14:solidFill>
          </w14:textFill>
        </w:rPr>
        <w:t xml:space="preserve">目 </w:t>
      </w:r>
      <w:r>
        <w:rPr>
          <w:rFonts w:hint="eastAsia" w:eastAsia="黑体" w:cs="Times New Roman"/>
          <w:b/>
          <w:bCs/>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36"/>
          <w:szCs w:val="36"/>
          <w:highlight w:val="none"/>
          <w14:textFill>
            <w14:solidFill>
              <w14:schemeClr w14:val="tx1"/>
            </w14:solidFill>
          </w14:textFill>
        </w:rPr>
        <w:t>录</w:t>
      </w:r>
    </w:p>
    <w:p>
      <w:pPr>
        <w:jc w:val="both"/>
        <w:rPr>
          <w:b/>
          <w:bCs/>
          <w:color w:val="000000" w:themeColor="text1"/>
          <w:sz w:val="24"/>
          <w:highlight w:val="none"/>
          <w14:textFill>
            <w14:solidFill>
              <w14:schemeClr w14:val="tx1"/>
            </w14:solidFill>
          </w14:textFill>
        </w:rPr>
      </w:pPr>
    </w:p>
    <w:p>
      <w:pPr>
        <w:pStyle w:val="13"/>
        <w:tabs>
          <w:tab w:val="right" w:leader="dot" w:pos="8720"/>
        </w:tabs>
        <w:spacing w:line="360" w:lineRule="auto"/>
        <w:rPr>
          <w:rFonts w:hint="default" w:ascii="Times New Roman" w:hAnsi="Times New Roman" w:eastAsia="黑体" w:cs="Times New Roman"/>
          <w:b/>
          <w:bCs/>
          <w:color w:val="000000" w:themeColor="text1"/>
          <w:sz w:val="28"/>
          <w:szCs w:val="28"/>
          <w:highlight w:val="none"/>
          <w14:textFill>
            <w14:solidFill>
              <w14:schemeClr w14:val="tx1"/>
            </w14:solidFill>
          </w14:textFill>
        </w:rPr>
      </w:pPr>
      <w:r>
        <w:rPr>
          <w:b/>
          <w:bCs/>
          <w:color w:val="000000" w:themeColor="text1"/>
          <w:sz w:val="28"/>
          <w:szCs w:val="28"/>
          <w:highlight w:val="none"/>
          <w14:textFill>
            <w14:solidFill>
              <w14:schemeClr w14:val="tx1"/>
            </w14:solidFill>
          </w14:textFill>
        </w:rPr>
        <w:fldChar w:fldCharType="begin"/>
      </w:r>
      <w:r>
        <w:rPr>
          <w:b/>
          <w:bCs/>
          <w:color w:val="000000" w:themeColor="text1"/>
          <w:sz w:val="28"/>
          <w:szCs w:val="28"/>
          <w:highlight w:val="none"/>
          <w14:textFill>
            <w14:solidFill>
              <w14:schemeClr w14:val="tx1"/>
            </w14:solidFill>
          </w14:textFill>
        </w:rPr>
        <w:instrText xml:space="preserve">TOC \o "1-2" \h \u </w:instrText>
      </w:r>
      <w:r>
        <w:rPr>
          <w:b/>
          <w:bCs/>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HYPERLINK \l "_Toc121730507"</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t>一、概述</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tab/>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PAGEREF _Toc121730507 \h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Fonts w:hint="default" w:ascii="Times New Roman" w:hAnsi="Times New Roman" w:eastAsia="黑体" w:cs="Times New Roman"/>
          <w:b/>
          <w:bCs/>
          <w:color w:val="000000" w:themeColor="text1"/>
          <w:sz w:val="28"/>
          <w:szCs w:val="28"/>
          <w:highlight w:val="none"/>
          <w14:textFill>
            <w14:solidFill>
              <w14:schemeClr w14:val="tx1"/>
            </w14:solidFill>
          </w14:textFill>
        </w:rPr>
        <w:t>1</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p>
    <w:p>
      <w:pPr>
        <w:pStyle w:val="13"/>
        <w:tabs>
          <w:tab w:val="right" w:leader="dot" w:pos="8720"/>
        </w:tabs>
        <w:spacing w:line="360" w:lineRule="auto"/>
        <w:rPr>
          <w:rFonts w:hint="eastAsia" w:ascii="Times New Roman" w:hAnsi="Times New Roman" w:eastAsia="黑体" w:cs="Times New Roman"/>
          <w:b/>
          <w:bCs/>
          <w:color w:val="000000" w:themeColor="text1"/>
          <w:sz w:val="28"/>
          <w:szCs w:val="28"/>
          <w:highlight w:val="none"/>
          <w14:textFill>
            <w14:solidFill>
              <w14:schemeClr w14:val="tx1"/>
            </w14:solidFill>
          </w14:textFill>
        </w:rPr>
      </w:pP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HYPERLINK \l "_Toc121730508"</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t>二、基本原则</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tab/>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Fonts w:hint="eastAsia" w:eastAsia="黑体" w:cs="Times New Roman"/>
          <w:b/>
          <w:bCs/>
          <w:color w:val="000000" w:themeColor="text1"/>
          <w:sz w:val="28"/>
          <w:szCs w:val="28"/>
          <w:highlight w:val="none"/>
          <w:lang w:eastAsia="zh-CN"/>
          <w14:textFill>
            <w14:solidFill>
              <w14:schemeClr w14:val="tx1"/>
            </w14:solidFill>
          </w14:textFill>
        </w:rPr>
        <w:t>2</w:t>
      </w:r>
    </w:p>
    <w:p>
      <w:pPr>
        <w:pStyle w:val="13"/>
        <w:tabs>
          <w:tab w:val="right" w:leader="dot" w:pos="8720"/>
        </w:tabs>
        <w:spacing w:line="360" w:lineRule="auto"/>
        <w:rPr>
          <w:rFonts w:hint="default" w:ascii="Times New Roman" w:hAnsi="Times New Roman" w:eastAsia="黑体" w:cs="Times New Roman"/>
          <w:b/>
          <w:bCs/>
          <w:color w:val="000000" w:themeColor="text1"/>
          <w:sz w:val="28"/>
          <w:szCs w:val="28"/>
          <w:highlight w:val="none"/>
          <w:lang w:eastAsia="zh-CN"/>
          <w14:textFill>
            <w14:solidFill>
              <w14:schemeClr w14:val="tx1"/>
            </w14:solidFill>
          </w14:textFill>
        </w:rPr>
      </w:pP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HYPERLINK \l "_Toc121730509"</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t>三、基本内容</w:t>
      </w:r>
      <w:r>
        <w:rPr>
          <w:rStyle w:val="25"/>
          <w:rFonts w:hint="eastAsia" w:eastAsia="黑体" w:cs="Times New Roman"/>
          <w:b/>
          <w:bCs/>
          <w:color w:val="000000" w:themeColor="text1"/>
          <w:sz w:val="28"/>
          <w:szCs w:val="28"/>
          <w:highlight w:val="none"/>
          <w:lang w:val="en-US" w:eastAsia="zh-CN"/>
          <w14:textFill>
            <w14:solidFill>
              <w14:schemeClr w14:val="tx1"/>
            </w14:solidFill>
          </w14:textFill>
        </w:rPr>
        <w:t>及评价要点</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tab/>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Fonts w:hint="eastAsia" w:eastAsia="黑体" w:cs="Times New Roman"/>
          <w:b/>
          <w:bCs/>
          <w:color w:val="000000" w:themeColor="text1"/>
          <w:sz w:val="28"/>
          <w:szCs w:val="28"/>
          <w:highlight w:val="none"/>
          <w:lang w:val="en-US" w:eastAsia="zh-CN"/>
          <w14:textFill>
            <w14:solidFill>
              <w14:schemeClr w14:val="tx1"/>
            </w14:solidFill>
          </w14:textFill>
        </w:rPr>
        <w:t>3</w:t>
      </w:r>
    </w:p>
    <w:p>
      <w:pPr>
        <w:pStyle w:val="16"/>
        <w:tabs>
          <w:tab w:val="right" w:leader="dot" w:pos="8720"/>
        </w:tabs>
        <w:spacing w:line="360" w:lineRule="auto"/>
        <w:rPr>
          <w:rFonts w:hint="eastAsia" w:ascii="Times New Roman" w:hAnsi="Times New Roman" w:eastAsia="仿宋" w:cs="Times New Roman"/>
          <w:b w:val="0"/>
          <w:bCs w:val="0"/>
          <w:color w:val="000000" w:themeColor="text1"/>
          <w:sz w:val="28"/>
          <w:szCs w:val="28"/>
          <w:highlight w:val="none"/>
          <w14:textFill>
            <w14:solidFill>
              <w14:schemeClr w14:val="tx1"/>
            </w14:solidFill>
          </w14:textFill>
        </w:rPr>
      </w:pP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HYPERLINK \l "_Toc121730510"</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（一）受试物制备和质量控制</w: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ab/>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end"/>
      </w:r>
      <w:r>
        <w:rPr>
          <w:rFonts w:hint="eastAsia" w:eastAsia="仿宋" w:cs="Times New Roman"/>
          <w:b w:val="0"/>
          <w:bCs w:val="0"/>
          <w:color w:val="000000" w:themeColor="text1"/>
          <w:sz w:val="28"/>
          <w:szCs w:val="28"/>
          <w:highlight w:val="none"/>
          <w:lang w:eastAsia="zh-CN"/>
          <w14:textFill>
            <w14:solidFill>
              <w14:schemeClr w14:val="tx1"/>
            </w14:solidFill>
          </w14:textFill>
        </w:rPr>
        <w:t>4</w:t>
      </w:r>
    </w:p>
    <w:p>
      <w:pPr>
        <w:pStyle w:val="16"/>
        <w:tabs>
          <w:tab w:val="right" w:leader="dot" w:pos="8720"/>
        </w:tabs>
        <w:spacing w:line="360" w:lineRule="auto"/>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pP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HYPERLINK \l "_Toc121730511"</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（二）实验动物</w:t>
      </w:r>
      <w:r>
        <w:rPr>
          <w:rStyle w:val="25"/>
          <w:rFonts w:hint="default" w:ascii="Times New Roman" w:hAnsi="Times New Roman" w:eastAsia="仿宋" w:cs="Times New Roman"/>
          <w:b w:val="0"/>
          <w:bCs w:val="0"/>
          <w:color w:val="000000" w:themeColor="text1"/>
          <w:sz w:val="28"/>
          <w:szCs w:val="28"/>
          <w:highlight w:val="none"/>
          <w:lang w:val="en-US" w:eastAsia="zh-CN"/>
          <w14:textFill>
            <w14:solidFill>
              <w14:schemeClr w14:val="tx1"/>
            </w14:solidFill>
          </w14:textFill>
        </w:rPr>
        <w:t>选择</w: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ab/>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end"/>
      </w:r>
      <w:r>
        <w:rPr>
          <w:rFonts w:hint="eastAsia" w:eastAsia="仿宋" w:cs="Times New Roman"/>
          <w:b w:val="0"/>
          <w:bCs w:val="0"/>
          <w:color w:val="000000" w:themeColor="text1"/>
          <w:sz w:val="28"/>
          <w:szCs w:val="28"/>
          <w:highlight w:val="none"/>
          <w:lang w:val="en-US" w:eastAsia="zh-CN"/>
          <w14:textFill>
            <w14:solidFill>
              <w14:schemeClr w14:val="tx1"/>
            </w14:solidFill>
          </w14:textFill>
        </w:rPr>
        <w:t>7</w:t>
      </w:r>
    </w:p>
    <w:p>
      <w:pPr>
        <w:pStyle w:val="16"/>
        <w:tabs>
          <w:tab w:val="right" w:leader="dot" w:pos="8720"/>
        </w:tabs>
        <w:spacing w:line="360" w:lineRule="auto"/>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pP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HYPERLINK \l "_Toc121730512"</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（三）染毒条件控制</w: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ab/>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end"/>
      </w:r>
      <w:r>
        <w:rPr>
          <w:rFonts w:hint="eastAsia" w:eastAsia="仿宋" w:cs="Times New Roman"/>
          <w:b w:val="0"/>
          <w:bCs w:val="0"/>
          <w:color w:val="000000" w:themeColor="text1"/>
          <w:sz w:val="28"/>
          <w:szCs w:val="28"/>
          <w:highlight w:val="none"/>
          <w:lang w:val="en-US" w:eastAsia="zh-CN"/>
          <w14:textFill>
            <w14:solidFill>
              <w14:schemeClr w14:val="tx1"/>
            </w14:solidFill>
          </w14:textFill>
        </w:rPr>
        <w:t>8</w:t>
      </w:r>
    </w:p>
    <w:p>
      <w:pPr>
        <w:pStyle w:val="16"/>
        <w:tabs>
          <w:tab w:val="right" w:leader="dot" w:pos="8720"/>
        </w:tabs>
        <w:spacing w:line="360" w:lineRule="auto"/>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pP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HYPERLINK \l "_Toc121730513"</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（四）试验组别设置</w: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ab/>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end"/>
      </w:r>
      <w:r>
        <w:rPr>
          <w:rFonts w:hint="eastAsia" w:eastAsia="仿宋" w:cs="Times New Roman"/>
          <w:b w:val="0"/>
          <w:bCs w:val="0"/>
          <w:color w:val="000000" w:themeColor="text1"/>
          <w:sz w:val="28"/>
          <w:szCs w:val="28"/>
          <w:highlight w:val="none"/>
          <w:lang w:val="en-US" w:eastAsia="zh-CN"/>
          <w14:textFill>
            <w14:solidFill>
              <w14:schemeClr w14:val="tx1"/>
            </w14:solidFill>
          </w14:textFill>
        </w:rPr>
        <w:t>10</w:t>
      </w:r>
    </w:p>
    <w:p>
      <w:pPr>
        <w:pStyle w:val="16"/>
        <w:tabs>
          <w:tab w:val="right" w:leader="dot" w:pos="8720"/>
        </w:tabs>
        <w:spacing w:line="360" w:lineRule="auto"/>
        <w:rPr>
          <w:rFonts w:hint="default" w:ascii="Times New Roman" w:hAnsi="Times New Roman" w:eastAsia="黑体" w:cs="Times New Roman"/>
          <w:b/>
          <w:bCs/>
          <w:color w:val="000000" w:themeColor="text1"/>
          <w:sz w:val="28"/>
          <w:szCs w:val="28"/>
          <w:highlight w:val="none"/>
          <w14:textFill>
            <w14:solidFill>
              <w14:schemeClr w14:val="tx1"/>
            </w14:solidFill>
          </w14:textFill>
        </w:rPr>
      </w:pP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HYPERLINK \l "_Toc121730514"</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（五）观察与检测指标</w: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ab/>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end"/>
      </w:r>
      <w:r>
        <w:rPr>
          <w:rFonts w:hint="eastAsia" w:eastAsia="仿宋" w:cs="Times New Roman"/>
          <w:b w:val="0"/>
          <w:bCs w:val="0"/>
          <w:color w:val="000000" w:themeColor="text1"/>
          <w:sz w:val="28"/>
          <w:szCs w:val="28"/>
          <w:highlight w:val="none"/>
          <w:lang w:val="en-US" w:eastAsia="zh-CN"/>
          <w14:textFill>
            <w14:solidFill>
              <w14:schemeClr w14:val="tx1"/>
            </w14:solidFill>
          </w14:textFill>
        </w:rPr>
        <w:t>12</w:t>
      </w:r>
    </w:p>
    <w:p>
      <w:pPr>
        <w:pStyle w:val="16"/>
        <w:tabs>
          <w:tab w:val="right" w:leader="dot" w:pos="8720"/>
        </w:tabs>
        <w:spacing w:line="360" w:lineRule="auto"/>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pP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HYPERLINK \l "_Toc121730515"</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1. 笼旁观察</w: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ab/>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end"/>
      </w:r>
      <w:r>
        <w:rPr>
          <w:rFonts w:hint="eastAsia" w:eastAsia="仿宋" w:cs="Times New Roman"/>
          <w:b w:val="0"/>
          <w:bCs w:val="0"/>
          <w:color w:val="000000" w:themeColor="text1"/>
          <w:sz w:val="28"/>
          <w:szCs w:val="28"/>
          <w:highlight w:val="none"/>
          <w:lang w:val="en-US" w:eastAsia="zh-CN"/>
          <w14:textFill>
            <w14:solidFill>
              <w14:schemeClr w14:val="tx1"/>
            </w14:solidFill>
          </w14:textFill>
        </w:rPr>
        <w:t>12</w:t>
      </w:r>
    </w:p>
    <w:p>
      <w:pPr>
        <w:pStyle w:val="16"/>
        <w:tabs>
          <w:tab w:val="right" w:leader="dot" w:pos="8720"/>
        </w:tabs>
        <w:spacing w:line="360" w:lineRule="auto"/>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pP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HYPERLINK \l "_Toc121730516"</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2. 体重变化</w: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ab/>
      </w:r>
      <w:r>
        <w:rPr>
          <w:rFonts w:hint="default" w:ascii="Times New Roman" w:hAnsi="Times New Roman" w:eastAsia="仿宋" w:cs="Times New Roman"/>
          <w:b w:val="0"/>
          <w:bCs w:val="0"/>
          <w:color w:val="000000" w:themeColor="text1"/>
          <w:sz w:val="28"/>
          <w:szCs w:val="28"/>
          <w:highlight w:val="none"/>
          <w:lang w:val="en-US" w:eastAsia="zh-CN"/>
          <w14:textFill>
            <w14:solidFill>
              <w14:schemeClr w14:val="tx1"/>
            </w14:solidFill>
          </w14:textFill>
        </w:rPr>
        <w:t>1</w: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end"/>
      </w:r>
      <w:r>
        <w:rPr>
          <w:rFonts w:hint="eastAsia" w:eastAsia="仿宋" w:cs="Times New Roman"/>
          <w:b w:val="0"/>
          <w:bCs w:val="0"/>
          <w:color w:val="000000" w:themeColor="text1"/>
          <w:sz w:val="28"/>
          <w:szCs w:val="28"/>
          <w:highlight w:val="none"/>
          <w:lang w:val="en-US" w:eastAsia="zh-CN"/>
          <w14:textFill>
            <w14:solidFill>
              <w14:schemeClr w14:val="tx1"/>
            </w14:solidFill>
          </w14:textFill>
        </w:rPr>
        <w:t>3</w:t>
      </w:r>
    </w:p>
    <w:p>
      <w:pPr>
        <w:pStyle w:val="16"/>
        <w:tabs>
          <w:tab w:val="right" w:leader="dot" w:pos="8720"/>
        </w:tabs>
        <w:spacing w:line="360" w:lineRule="auto"/>
        <w:rPr>
          <w:rFonts w:hint="default" w:ascii="Times New Roman" w:hAnsi="Times New Roman" w:eastAsia="黑体" w:cs="Times New Roman"/>
          <w:b w:val="0"/>
          <w:bCs w:val="0"/>
          <w:color w:val="000000" w:themeColor="text1"/>
          <w:sz w:val="28"/>
          <w:szCs w:val="28"/>
          <w:highlight w:val="none"/>
          <w14:textFill>
            <w14:solidFill>
              <w14:schemeClr w14:val="tx1"/>
            </w14:solidFill>
          </w14:textFill>
        </w:rPr>
      </w:pP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HYPERLINK \l "_Toc121730517"</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3. 病理学检查</w:t>
      </w:r>
      <w:r>
        <w:rPr>
          <w:rFonts w:hint="default" w:ascii="Times New Roman" w:hAnsi="Times New Roman" w:eastAsia="仿宋" w:cs="Times New Roman"/>
          <w:b w:val="0"/>
          <w:bCs w:val="0"/>
          <w:color w:val="000000" w:themeColor="text1"/>
          <w:sz w:val="28"/>
          <w:szCs w:val="28"/>
          <w:highlight w:val="none"/>
          <w14:textFill>
            <w14:solidFill>
              <w14:schemeClr w14:val="tx1"/>
            </w14:solidFill>
          </w14:textFill>
        </w:rPr>
        <w:tab/>
      </w:r>
      <w:r>
        <w:rPr>
          <w:rFonts w:hint="default" w:ascii="Times New Roman" w:hAnsi="Times New Roman" w:eastAsia="仿宋" w:cs="Times New Roman"/>
          <w:b w:val="0"/>
          <w:bCs w:val="0"/>
          <w:color w:val="000000" w:themeColor="text1"/>
          <w:sz w:val="28"/>
          <w:szCs w:val="28"/>
          <w:highlight w:val="none"/>
          <w:lang w:val="en-US" w:eastAsia="zh-CN"/>
          <w14:textFill>
            <w14:solidFill>
              <w14:schemeClr w14:val="tx1"/>
            </w14:solidFill>
          </w14:textFill>
        </w:rPr>
        <w:t>1</w:t>
      </w:r>
      <w:r>
        <w:rPr>
          <w:rStyle w:val="25"/>
          <w:rFonts w:hint="default" w:ascii="Times New Roman" w:hAnsi="Times New Roman" w:eastAsia="仿宋" w:cs="Times New Roman"/>
          <w:b w:val="0"/>
          <w:bCs w:val="0"/>
          <w:color w:val="000000" w:themeColor="text1"/>
          <w:sz w:val="28"/>
          <w:szCs w:val="28"/>
          <w:highlight w:val="none"/>
          <w14:textFill>
            <w14:solidFill>
              <w14:schemeClr w14:val="tx1"/>
            </w14:solidFill>
          </w14:textFill>
        </w:rPr>
        <w:fldChar w:fldCharType="end"/>
      </w:r>
      <w:r>
        <w:rPr>
          <w:rFonts w:hint="eastAsia" w:eastAsia="仿宋" w:cs="Times New Roman"/>
          <w:b w:val="0"/>
          <w:bCs w:val="0"/>
          <w:color w:val="000000" w:themeColor="text1"/>
          <w:sz w:val="28"/>
          <w:szCs w:val="28"/>
          <w:highlight w:val="none"/>
          <w:lang w:val="en-US" w:eastAsia="zh-CN"/>
          <w14:textFill>
            <w14:solidFill>
              <w14:schemeClr w14:val="tx1"/>
            </w14:solidFill>
          </w14:textFill>
        </w:rPr>
        <w:t>3</w:t>
      </w:r>
    </w:p>
    <w:p>
      <w:pPr>
        <w:pStyle w:val="13"/>
        <w:tabs>
          <w:tab w:val="right" w:leader="dot" w:pos="8720"/>
        </w:tabs>
        <w:spacing w:line="360" w:lineRule="auto"/>
        <w:rPr>
          <w:rStyle w:val="25"/>
          <w:rFonts w:hint="default" w:ascii="Times New Roman" w:hAnsi="Times New Roman" w:eastAsia="黑体" w:cs="Times New Roman"/>
          <w:b/>
          <w:bCs/>
          <w:color w:val="000000" w:themeColor="text1"/>
          <w:sz w:val="28"/>
          <w:szCs w:val="28"/>
          <w:highlight w:val="none"/>
          <w:lang w:val="en-US" w:eastAsia="zh-CN"/>
          <w14:textFill>
            <w14:solidFill>
              <w14:schemeClr w14:val="tx1"/>
            </w14:solidFill>
          </w14:textFill>
        </w:rPr>
      </w:pPr>
      <w:r>
        <w:rPr>
          <w:rStyle w:val="25"/>
          <w:rFonts w:hint="default" w:ascii="Times New Roman" w:hAnsi="Times New Roman" w:eastAsia="黑体" w:cs="Times New Roman"/>
          <w:b/>
          <w:bCs/>
          <w:color w:val="000000" w:themeColor="text1"/>
          <w:sz w:val="28"/>
          <w:szCs w:val="28"/>
          <w:highlight w:val="none"/>
          <w:lang w:val="en-US" w:eastAsia="zh-CN"/>
          <w14:textFill>
            <w14:solidFill>
              <w14:schemeClr w14:val="tx1"/>
            </w14:solidFill>
          </w14:textFill>
        </w:rPr>
        <w:t>四、结果</w:t>
      </w:r>
      <w:r>
        <w:rPr>
          <w:rStyle w:val="25"/>
          <w:rFonts w:hint="eastAsia" w:eastAsia="黑体" w:cs="Times New Roman"/>
          <w:b/>
          <w:bCs/>
          <w:color w:val="000000" w:themeColor="text1"/>
          <w:sz w:val="28"/>
          <w:szCs w:val="28"/>
          <w:highlight w:val="none"/>
          <w:lang w:val="en-US" w:eastAsia="zh-CN"/>
          <w14:textFill>
            <w14:solidFill>
              <w14:schemeClr w14:val="tx1"/>
            </w14:solidFill>
          </w14:textFill>
        </w:rPr>
        <w:t>分析与评价</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tab/>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PAGEREF _Toc121730518 \h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Fonts w:hint="default" w:ascii="Times New Roman" w:hAnsi="Times New Roman" w:eastAsia="黑体" w:cs="Times New Roman"/>
          <w:b/>
          <w:bCs/>
          <w:color w:val="000000" w:themeColor="text1"/>
          <w:sz w:val="28"/>
          <w:szCs w:val="28"/>
          <w:highlight w:val="none"/>
          <w14:textFill>
            <w14:solidFill>
              <w14:schemeClr w14:val="tx1"/>
            </w14:solidFill>
          </w14:textFill>
        </w:rPr>
        <w:t>1</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Fonts w:hint="eastAsia" w:eastAsia="黑体" w:cs="Times New Roman"/>
          <w:b/>
          <w:bCs/>
          <w:color w:val="000000" w:themeColor="text1"/>
          <w:sz w:val="28"/>
          <w:szCs w:val="28"/>
          <w:highlight w:val="none"/>
          <w:lang w:val="en-US" w:eastAsia="zh-CN"/>
          <w14:textFill>
            <w14:solidFill>
              <w14:schemeClr w14:val="tx1"/>
            </w14:solidFill>
          </w14:textFill>
        </w:rPr>
        <w:t>4</w:t>
      </w:r>
    </w:p>
    <w:p>
      <w:pPr>
        <w:pStyle w:val="13"/>
        <w:tabs>
          <w:tab w:val="right" w:leader="dot" w:pos="8720"/>
        </w:tabs>
        <w:spacing w:line="360" w:lineRule="auto"/>
        <w:rPr>
          <w:rFonts w:hint="default" w:ascii="Times New Roman" w:hAnsi="Times New Roman" w:eastAsia="黑体" w:cs="Times New Roman"/>
          <w:b/>
          <w:bCs/>
          <w:color w:val="000000" w:themeColor="text1"/>
          <w:sz w:val="28"/>
          <w:szCs w:val="28"/>
          <w:highlight w:val="none"/>
          <w:lang w:eastAsia="zh-CN"/>
          <w14:textFill>
            <w14:solidFill>
              <w14:schemeClr w14:val="tx1"/>
            </w14:solidFill>
          </w14:textFill>
        </w:rPr>
      </w:pP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HYPERLINK \l "_Toc121730519"</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黑体" w:cs="Times New Roman"/>
          <w:b/>
          <w:bCs/>
          <w:color w:val="000000" w:themeColor="text1"/>
          <w:sz w:val="28"/>
          <w:szCs w:val="28"/>
          <w:highlight w:val="none"/>
          <w:lang w:val="en-US" w:eastAsia="zh-CN"/>
          <w14:textFill>
            <w14:solidFill>
              <w14:schemeClr w14:val="tx1"/>
            </w14:solidFill>
          </w14:textFill>
        </w:rPr>
        <w:t>五</w: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t>、参考文献</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tab/>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PAGEREF _Toc121730519 \h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Fonts w:hint="default" w:ascii="Times New Roman" w:hAnsi="Times New Roman" w:eastAsia="黑体" w:cs="Times New Roman"/>
          <w:b/>
          <w:bCs/>
          <w:color w:val="000000" w:themeColor="text1"/>
          <w:sz w:val="28"/>
          <w:szCs w:val="28"/>
          <w:highlight w:val="none"/>
          <w14:textFill>
            <w14:solidFill>
              <w14:schemeClr w14:val="tx1"/>
            </w14:solidFill>
          </w14:textFill>
        </w:rPr>
        <w:t>1</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Fonts w:hint="eastAsia" w:eastAsia="黑体" w:cs="Times New Roman"/>
          <w:b/>
          <w:bCs/>
          <w:color w:val="000000" w:themeColor="text1"/>
          <w:sz w:val="28"/>
          <w:szCs w:val="28"/>
          <w:highlight w:val="none"/>
          <w:lang w:val="en-US" w:eastAsia="zh-CN"/>
          <w14:textFill>
            <w14:solidFill>
              <w14:schemeClr w14:val="tx1"/>
            </w14:solidFill>
          </w14:textFill>
        </w:rPr>
        <w:t>5</w:t>
      </w:r>
    </w:p>
    <w:p>
      <w:pPr>
        <w:pStyle w:val="13"/>
        <w:tabs>
          <w:tab w:val="right" w:leader="dot" w:pos="8720"/>
        </w:tabs>
        <w:spacing w:line="360" w:lineRule="auto"/>
        <w:rPr>
          <w:rFonts w:hint="default" w:ascii="Times New Roman" w:hAnsi="Times New Roman" w:eastAsia="黑体" w:cs="Times New Roman"/>
          <w:b/>
          <w:bCs/>
          <w:color w:val="000000" w:themeColor="text1"/>
          <w:sz w:val="28"/>
          <w:szCs w:val="28"/>
          <w:highlight w:val="none"/>
          <w:lang w:eastAsia="zh-CN"/>
          <w14:textFill>
            <w14:solidFill>
              <w14:schemeClr w14:val="tx1"/>
            </w14:solidFill>
          </w14:textFill>
        </w:rPr>
      </w:pP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HYPERLINK \l "_Toc121730520"</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黑体" w:cs="Times New Roman"/>
          <w:b/>
          <w:bCs/>
          <w:color w:val="000000" w:themeColor="text1"/>
          <w:sz w:val="28"/>
          <w:szCs w:val="28"/>
          <w:highlight w:val="none"/>
          <w:lang w:val="en-US" w:eastAsia="zh-CN"/>
          <w14:textFill>
            <w14:solidFill>
              <w14:schemeClr w14:val="tx1"/>
            </w14:solidFill>
          </w14:textFill>
        </w:rPr>
        <w:t>六</w: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t>、</w:t>
      </w:r>
      <w:r>
        <w:rPr>
          <w:rStyle w:val="25"/>
          <w:rFonts w:hint="default" w:ascii="Times New Roman" w:hAnsi="Times New Roman" w:eastAsia="黑体" w:cs="Times New Roman"/>
          <w:b/>
          <w:bCs/>
          <w:color w:val="000000" w:themeColor="text1"/>
          <w:sz w:val="28"/>
          <w:szCs w:val="28"/>
          <w:highlight w:val="none"/>
          <w:lang w:val="en-US" w:eastAsia="zh-CN"/>
          <w14:textFill>
            <w14:solidFill>
              <w14:schemeClr w14:val="tx1"/>
            </w14:solidFill>
          </w14:textFill>
        </w:rPr>
        <w:t>术语和释义</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tab/>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PAGEREF _Toc121730520 \h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Fonts w:hint="default" w:ascii="Times New Roman" w:hAnsi="Times New Roman" w:eastAsia="黑体" w:cs="Times New Roman"/>
          <w:b/>
          <w:bCs/>
          <w:color w:val="000000" w:themeColor="text1"/>
          <w:sz w:val="28"/>
          <w:szCs w:val="28"/>
          <w:highlight w:val="none"/>
          <w14:textFill>
            <w14:solidFill>
              <w14:schemeClr w14:val="tx1"/>
            </w14:solidFill>
          </w14:textFill>
        </w:rPr>
        <w:t>1</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Fonts w:hint="eastAsia" w:eastAsia="黑体" w:cs="Times New Roman"/>
          <w:b/>
          <w:bCs/>
          <w:color w:val="000000" w:themeColor="text1"/>
          <w:sz w:val="28"/>
          <w:szCs w:val="28"/>
          <w:highlight w:val="none"/>
          <w:lang w:val="en-US" w:eastAsia="zh-CN"/>
          <w14:textFill>
            <w14:solidFill>
              <w14:schemeClr w14:val="tx1"/>
            </w14:solidFill>
          </w14:textFill>
        </w:rPr>
        <w:t>6</w:t>
      </w:r>
    </w:p>
    <w:p>
      <w:pPr>
        <w:pStyle w:val="13"/>
        <w:tabs>
          <w:tab w:val="right" w:leader="dot" w:pos="8720"/>
        </w:tabs>
        <w:spacing w:line="360" w:lineRule="auto"/>
        <w:rPr>
          <w:rFonts w:hint="default" w:ascii="Times New Roman" w:hAnsi="Times New Roman" w:eastAsia="黑体"/>
          <w:b/>
          <w:bCs/>
          <w:color w:val="000000" w:themeColor="text1"/>
          <w:sz w:val="28"/>
          <w:szCs w:val="28"/>
          <w:highlight w:val="none"/>
          <w:lang w:eastAsia="zh-CN"/>
          <w14:textFill>
            <w14:solidFill>
              <w14:schemeClr w14:val="tx1"/>
            </w14:solidFill>
          </w14:textFill>
        </w:rPr>
      </w:pP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HYPERLINK \l "_Toc121730521"</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w:instrTex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Style w:val="25"/>
          <w:rFonts w:hint="default" w:ascii="Times New Roman" w:hAnsi="Times New Roman" w:eastAsia="黑体" w:cs="Times New Roman"/>
          <w:b/>
          <w:bCs/>
          <w:color w:val="000000" w:themeColor="text1"/>
          <w:sz w:val="28"/>
          <w:szCs w:val="28"/>
          <w:highlight w:val="none"/>
          <w:lang w:val="en-US" w:eastAsia="zh-CN"/>
          <w14:textFill>
            <w14:solidFill>
              <w14:schemeClr w14:val="tx1"/>
            </w14:solidFill>
          </w14:textFill>
        </w:rPr>
        <w:t>七</w:t>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t>、附录</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tab/>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begin"/>
      </w:r>
      <w:r>
        <w:rPr>
          <w:rFonts w:hint="default" w:ascii="Times New Roman" w:hAnsi="Times New Roman" w:eastAsia="黑体" w:cs="Times New Roman"/>
          <w:b/>
          <w:bCs/>
          <w:color w:val="000000" w:themeColor="text1"/>
          <w:sz w:val="28"/>
          <w:szCs w:val="28"/>
          <w:highlight w:val="none"/>
          <w14:textFill>
            <w14:solidFill>
              <w14:schemeClr w14:val="tx1"/>
            </w14:solidFill>
          </w14:textFill>
        </w:rPr>
        <w:instrText xml:space="preserve"> PAGEREF _Toc121730521 \h </w:instrTex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separate"/>
      </w:r>
      <w:r>
        <w:rPr>
          <w:rFonts w:hint="default" w:ascii="Times New Roman" w:hAnsi="Times New Roman" w:eastAsia="黑体" w:cs="Times New Roman"/>
          <w:b/>
          <w:bCs/>
          <w:color w:val="000000" w:themeColor="text1"/>
          <w:sz w:val="28"/>
          <w:szCs w:val="28"/>
          <w:highlight w:val="none"/>
          <w14:textFill>
            <w14:solidFill>
              <w14:schemeClr w14:val="tx1"/>
            </w14:solidFill>
          </w14:textFill>
        </w:rPr>
        <w:t>1</w:t>
      </w:r>
      <w:r>
        <w:rPr>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Style w:val="25"/>
          <w:rFonts w:hint="default" w:ascii="Times New Roman" w:hAnsi="Times New Roman" w:eastAsia="黑体" w:cs="Times New Roman"/>
          <w:b/>
          <w:bCs/>
          <w:color w:val="000000" w:themeColor="text1"/>
          <w:sz w:val="28"/>
          <w:szCs w:val="28"/>
          <w:highlight w:val="none"/>
          <w14:textFill>
            <w14:solidFill>
              <w14:schemeClr w14:val="tx1"/>
            </w14:solidFill>
          </w14:textFill>
        </w:rPr>
        <w:fldChar w:fldCharType="end"/>
      </w:r>
      <w:r>
        <w:rPr>
          <w:rFonts w:hint="eastAsia" w:eastAsia="黑体" w:cs="Times New Roman"/>
          <w:b/>
          <w:bCs/>
          <w:color w:val="000000" w:themeColor="text1"/>
          <w:sz w:val="28"/>
          <w:szCs w:val="28"/>
          <w:highlight w:val="none"/>
          <w:lang w:val="en-US" w:eastAsia="zh-CN"/>
          <w14:textFill>
            <w14:solidFill>
              <w14:schemeClr w14:val="tx1"/>
            </w14:solidFill>
          </w14:textFill>
        </w:rPr>
        <w:t>8</w:t>
      </w:r>
    </w:p>
    <w:p>
      <w:pPr>
        <w:spacing w:line="360" w:lineRule="auto"/>
        <w:jc w:val="center"/>
        <w:rPr>
          <w:b/>
          <w:bCs/>
          <w:color w:val="000000" w:themeColor="text1"/>
          <w:sz w:val="28"/>
          <w:szCs w:val="28"/>
          <w:highlight w:val="none"/>
          <w14:textFill>
            <w14:solidFill>
              <w14:schemeClr w14:val="tx1"/>
            </w14:solidFill>
          </w14:textFill>
        </w:rPr>
      </w:pPr>
      <w:r>
        <w:rPr>
          <w:b/>
          <w:bCs/>
          <w:color w:val="000000" w:themeColor="text1"/>
          <w:sz w:val="28"/>
          <w:szCs w:val="28"/>
          <w:highlight w:val="none"/>
          <w14:textFill>
            <w14:solidFill>
              <w14:schemeClr w14:val="tx1"/>
            </w14:solidFill>
          </w14:textFill>
        </w:rPr>
        <w:fldChar w:fldCharType="end"/>
      </w:r>
    </w:p>
    <w:p>
      <w:pPr>
        <w:spacing w:line="360" w:lineRule="auto"/>
        <w:jc w:val="center"/>
        <w:rPr>
          <w:b/>
          <w:bCs/>
          <w:color w:val="000000" w:themeColor="text1"/>
          <w:sz w:val="28"/>
          <w:szCs w:val="28"/>
          <w:highlight w:val="none"/>
          <w14:textFill>
            <w14:solidFill>
              <w14:schemeClr w14:val="tx1"/>
            </w14:solidFill>
          </w14:textFill>
        </w:rPr>
        <w:sectPr>
          <w:pgSz w:w="11906" w:h="16838"/>
          <w:pgMar w:top="1758" w:right="1588" w:bottom="1440" w:left="1588" w:header="851" w:footer="992" w:gutter="0"/>
          <w:pgNumType w:start="0"/>
          <w:cols w:space="720" w:num="1"/>
          <w:titlePg/>
          <w:docGrid w:type="lines" w:linePitch="312" w:charSpace="0"/>
        </w:sectPr>
      </w:pPr>
    </w:p>
    <w:p>
      <w:pPr>
        <w:spacing w:line="360" w:lineRule="auto"/>
        <w:ind w:firstLine="640" w:firstLineChars="200"/>
        <w:jc w:val="both"/>
        <w:outlineLvl w:val="9"/>
        <w:rPr>
          <w:rFonts w:hint="eastAsia"/>
          <w:b/>
          <w:bCs/>
          <w:color w:val="000000" w:themeColor="text1"/>
          <w:sz w:val="24"/>
          <w:highlight w:val="none"/>
          <w14:textFill>
            <w14:solidFill>
              <w14:schemeClr w14:val="tx1"/>
            </w14:solidFill>
          </w14:textFill>
        </w:rPr>
      </w:pPr>
      <w:bookmarkStart w:id="0" w:name="_Toc6708"/>
      <w:bookmarkStart w:id="1" w:name="_Toc32411"/>
      <w:bookmarkStart w:id="2" w:name="_Toc139684097"/>
      <w:bookmarkStart w:id="3" w:name="_Toc21627"/>
      <w:bookmarkStart w:id="4" w:name="_Toc20170"/>
      <w:bookmarkStart w:id="5" w:name="_Toc3651"/>
      <w:bookmarkStart w:id="6" w:name="_Toc7478"/>
      <w:bookmarkStart w:id="7" w:name="_Toc6020"/>
      <w:bookmarkStart w:id="8" w:name="_Toc121730507"/>
      <w:r>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t>一、</w:t>
      </w:r>
      <w:bookmarkEnd w:id="0"/>
      <w:bookmarkEnd w:id="1"/>
      <w:bookmarkEnd w:id="2"/>
      <w:bookmarkEnd w:id="3"/>
      <w:bookmarkEnd w:id="4"/>
      <w:bookmarkEnd w:id="5"/>
      <w:bookmarkEnd w:id="6"/>
      <w:bookmarkEnd w:id="7"/>
      <w:r>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t>概述</w:t>
      </w:r>
      <w:bookmarkEnd w:id="8"/>
    </w:p>
    <w:p>
      <w:pPr>
        <w:spacing w:line="360" w:lineRule="auto"/>
        <w:ind w:firstLine="640" w:firstLineChars="200"/>
        <w:jc w:val="both"/>
        <w:outlineLvl w:val="9"/>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急性吸入毒性试验 急性毒性</w:t>
      </w:r>
      <w:r>
        <w:rPr>
          <w:rFonts w:hint="eastAsia" w:eastAsia="仿宋" w:cs="Times New Roman"/>
          <w:color w:val="000000" w:themeColor="text1"/>
          <w:sz w:val="32"/>
          <w:szCs w:val="32"/>
          <w:highlight w:val="none"/>
          <w:lang w:eastAsia="zh-CN"/>
          <w14:textFill>
            <w14:solidFill>
              <w14:schemeClr w14:val="tx1"/>
            </w14:solidFill>
          </w14:textFill>
        </w:rPr>
        <w:t>分类法</w:t>
      </w:r>
      <w:r>
        <w:rPr>
          <w:rFonts w:hint="default" w:ascii="Times New Roman" w:hAnsi="Times New Roman" w:eastAsia="仿宋" w:cs="Times New Roman"/>
          <w:color w:val="000000" w:themeColor="text1"/>
          <w:sz w:val="32"/>
          <w:szCs w:val="32"/>
          <w:highlight w:val="none"/>
          <w14:textFill>
            <w14:solidFill>
              <w14:schemeClr w14:val="tx1"/>
            </w14:solidFill>
          </w14:textFill>
        </w:rPr>
        <w:t>（Acute Inhalation Toxicity</w:t>
      </w:r>
      <w:r>
        <w:rPr>
          <w:rFonts w:hint="eastAsia" w:eastAsia="仿宋"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2"/>
          <w:szCs w:val="32"/>
          <w:highlight w:val="none"/>
          <w14:textFill>
            <w14:solidFill>
              <w14:schemeClr w14:val="tx1"/>
            </w14:solidFill>
          </w14:textFill>
        </w:rPr>
        <w:t>Acute Toxic Class</w:t>
      </w:r>
      <w:r>
        <w:rPr>
          <w:rFonts w:hint="eastAsia" w:eastAsia="仿宋"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2"/>
          <w:szCs w:val="32"/>
          <w:highlight w:val="none"/>
          <w14:textFill>
            <w14:solidFill>
              <w14:schemeClr w14:val="tx1"/>
            </w14:solidFill>
          </w14:textFill>
        </w:rPr>
        <w:t>Method</w:t>
      </w:r>
      <w:r>
        <w:rPr>
          <w:rFonts w:hint="eastAsia" w:eastAsia="仿宋" w:cs="Times New Roman"/>
          <w:color w:val="000000" w:themeColor="text1"/>
          <w:sz w:val="32"/>
          <w:szCs w:val="32"/>
          <w:highlight w:val="none"/>
          <w:lang w:eastAsia="zh-CN"/>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ATC Method</w:t>
      </w:r>
      <w:r>
        <w:rPr>
          <w:rFonts w:hint="default" w:ascii="Times New Roman" w:hAnsi="Times New Roman" w:eastAsia="仿宋" w:cs="Times New Roman"/>
          <w:color w:val="000000" w:themeColor="text1"/>
          <w:sz w:val="32"/>
          <w:szCs w:val="32"/>
          <w:highlight w:val="none"/>
          <w14:textFill>
            <w14:solidFill>
              <w14:schemeClr w14:val="tx1"/>
            </w14:solidFill>
          </w14:textFill>
        </w:rPr>
        <w:t>）是</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用较少的动物</w:t>
      </w:r>
      <w:r>
        <w:rPr>
          <w:rFonts w:hint="default" w:ascii="Times New Roman" w:hAnsi="Times New Roman" w:eastAsia="仿宋" w:cs="Times New Roman"/>
          <w:color w:val="000000" w:themeColor="text1"/>
          <w:sz w:val="32"/>
          <w:szCs w:val="32"/>
          <w:highlight w:val="none"/>
          <w14:textFill>
            <w14:solidFill>
              <w14:schemeClr w14:val="tx1"/>
            </w14:solidFill>
          </w14:textFill>
        </w:rPr>
        <w:t>对一系列固定浓度的受试物进行</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逐步的</w:t>
      </w:r>
      <w:r>
        <w:rPr>
          <w:rFonts w:hint="default" w:ascii="Times New Roman" w:hAnsi="Times New Roman" w:eastAsia="仿宋" w:cs="Times New Roman"/>
          <w:color w:val="000000" w:themeColor="text1"/>
          <w:sz w:val="32"/>
          <w:szCs w:val="32"/>
          <w:highlight w:val="none"/>
          <w14:textFill>
            <w14:solidFill>
              <w14:schemeClr w14:val="tx1"/>
            </w14:solidFill>
          </w14:textFill>
        </w:rPr>
        <w:t>急性吸入毒性</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测试</w:t>
      </w:r>
      <w:r>
        <w:rPr>
          <w:rFonts w:hint="default" w:ascii="Times New Roman" w:hAnsi="Times New Roman" w:eastAsia="仿宋" w:cs="Times New Roman"/>
          <w:color w:val="000000" w:themeColor="text1"/>
          <w:sz w:val="32"/>
          <w:szCs w:val="32"/>
          <w:highlight w:val="none"/>
          <w14:textFill>
            <w14:solidFill>
              <w14:schemeClr w14:val="tx1"/>
            </w14:solidFill>
          </w14:textFill>
        </w:rPr>
        <w:t>，从而提供受试物吸入毒性</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特征</w:t>
      </w:r>
      <w:r>
        <w:rPr>
          <w:rFonts w:hint="default" w:ascii="Times New Roman" w:hAnsi="Times New Roman" w:eastAsia="仿宋" w:cs="Times New Roman"/>
          <w:color w:val="000000" w:themeColor="text1"/>
          <w:sz w:val="32"/>
          <w:szCs w:val="32"/>
          <w:highlight w:val="none"/>
          <w14:textFill>
            <w14:solidFill>
              <w14:schemeClr w14:val="tx1"/>
            </w14:solidFill>
          </w14:textFill>
        </w:rPr>
        <w:t>信息，并</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确定</w:t>
      </w:r>
      <w:r>
        <w:rPr>
          <w:rFonts w:hint="default" w:ascii="Times New Roman" w:hAnsi="Times New Roman" w:eastAsia="仿宋" w:cs="Times New Roman"/>
          <w:color w:val="000000" w:themeColor="text1"/>
          <w:sz w:val="32"/>
          <w:szCs w:val="32"/>
          <w:highlight w:val="none"/>
          <w14:textFill>
            <w14:solidFill>
              <w14:schemeClr w14:val="tx1"/>
            </w14:solidFill>
          </w14:textFill>
        </w:rPr>
        <w:t>受试物</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的</w:t>
      </w:r>
      <w:r>
        <w:rPr>
          <w:rFonts w:hint="default" w:ascii="Times New Roman" w:hAnsi="Times New Roman" w:eastAsia="仿宋" w:cs="Times New Roman"/>
          <w:color w:val="000000" w:themeColor="text1"/>
          <w:sz w:val="32"/>
          <w:szCs w:val="32"/>
          <w:highlight w:val="none"/>
          <w14:textFill>
            <w14:solidFill>
              <w14:schemeClr w14:val="tx1"/>
            </w14:solidFill>
          </w14:textFill>
        </w:rPr>
        <w:t>急性</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吸入</w:t>
      </w:r>
      <w:r>
        <w:rPr>
          <w:rFonts w:hint="default" w:ascii="Times New Roman" w:hAnsi="Times New Roman" w:eastAsia="仿宋" w:cs="Times New Roman"/>
          <w:color w:val="000000" w:themeColor="text1"/>
          <w:sz w:val="32"/>
          <w:szCs w:val="32"/>
          <w:highlight w:val="none"/>
          <w14:textFill>
            <w14:solidFill>
              <w14:schemeClr w14:val="tx1"/>
            </w14:solidFill>
          </w14:textFill>
        </w:rPr>
        <w:t>毒性</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及其</w:t>
      </w:r>
      <w:r>
        <w:rPr>
          <w:rFonts w:hint="eastAsia" w:eastAsia="仿宋" w:cs="Times New Roman"/>
          <w:color w:val="000000" w:themeColor="text1"/>
          <w:sz w:val="32"/>
          <w:szCs w:val="32"/>
          <w:highlight w:val="none"/>
          <w:lang w:eastAsia="zh-CN"/>
          <w14:textFill>
            <w14:solidFill>
              <w14:schemeClr w14:val="tx1"/>
            </w14:solidFill>
          </w14:textFill>
        </w:rPr>
        <w:t>分类的</w:t>
      </w:r>
      <w:r>
        <w:rPr>
          <w:rFonts w:hint="eastAsia" w:eastAsia="仿宋" w:cs="Times New Roman"/>
          <w:color w:val="000000" w:themeColor="text1"/>
          <w:sz w:val="32"/>
          <w:szCs w:val="32"/>
          <w:highlight w:val="none"/>
          <w:lang w:val="en-US" w:eastAsia="zh-CN"/>
          <w14:textFill>
            <w14:solidFill>
              <w14:schemeClr w14:val="tx1"/>
            </w14:solidFill>
          </w14:textFill>
        </w:rPr>
        <w:t>试验研究方法</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该</w:t>
      </w:r>
      <w:r>
        <w:rPr>
          <w:rFonts w:hint="default" w:ascii="Times New Roman" w:hAnsi="Times New Roman" w:eastAsia="仿宋" w:cs="Times New Roman"/>
          <w:color w:val="000000" w:themeColor="text1"/>
          <w:sz w:val="32"/>
          <w:szCs w:val="32"/>
          <w:highlight w:val="none"/>
          <w14:textFill>
            <w14:solidFill>
              <w14:schemeClr w14:val="tx1"/>
            </w14:solidFill>
          </w14:textFill>
        </w:rPr>
        <w:t>方法的目的是通过测试获得受试物</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对呼吸系统的健康危害信息</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识别存在吸入暴露</w:t>
      </w:r>
      <w:r>
        <w:rPr>
          <w:rFonts w:hint="eastAsia" w:eastAsia="仿宋" w:cs="Times New Roman"/>
          <w:color w:val="000000" w:themeColor="text1"/>
          <w:sz w:val="32"/>
          <w:szCs w:val="32"/>
          <w:highlight w:val="none"/>
          <w:lang w:val="en-US" w:eastAsia="zh-CN"/>
          <w14:textFill>
            <w14:solidFill>
              <w14:schemeClr w14:val="tx1"/>
            </w14:solidFill>
          </w14:textFill>
        </w:rPr>
        <w:t>可能性</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的</w:t>
      </w:r>
      <w:r>
        <w:rPr>
          <w:rFonts w:hint="default" w:ascii="Times New Roman" w:hAnsi="Times New Roman" w:eastAsia="仿宋" w:cs="Times New Roman"/>
          <w:color w:val="000000" w:themeColor="text1"/>
          <w:sz w:val="32"/>
          <w:szCs w:val="32"/>
          <w:highlight w:val="none"/>
          <w14:textFill>
            <w14:solidFill>
              <w14:schemeClr w14:val="tx1"/>
            </w14:solidFill>
          </w14:textFill>
        </w:rPr>
        <w:t>化妆品原料</w:t>
      </w:r>
      <w:r>
        <w:rPr>
          <w:rFonts w:hint="eastAsia" w:eastAsia="仿宋" w:cs="Times New Roman"/>
          <w:color w:val="000000" w:themeColor="text1"/>
          <w:sz w:val="32"/>
          <w:szCs w:val="32"/>
          <w:highlight w:val="none"/>
          <w:lang w:eastAsia="zh-CN"/>
          <w14:textFill>
            <w14:solidFill>
              <w14:schemeClr w14:val="tx1"/>
            </w14:solidFill>
          </w14:textFill>
        </w:rPr>
        <w:t>的</w:t>
      </w:r>
      <w:r>
        <w:rPr>
          <w:rFonts w:hint="eastAsia" w:eastAsia="仿宋" w:cs="Times New Roman"/>
          <w:color w:val="000000" w:themeColor="text1"/>
          <w:sz w:val="32"/>
          <w:szCs w:val="32"/>
          <w:highlight w:val="none"/>
          <w:lang w:val="en-US" w:eastAsia="zh-CN"/>
          <w14:textFill>
            <w14:solidFill>
              <w14:schemeClr w14:val="tx1"/>
            </w14:solidFill>
          </w14:textFill>
        </w:rPr>
        <w:t>急性吸入毒性，并</w:t>
      </w:r>
      <w:r>
        <w:rPr>
          <w:rFonts w:hint="default" w:ascii="Times New Roman" w:hAnsi="Times New Roman" w:eastAsia="仿宋" w:cs="Times New Roman"/>
          <w:color w:val="000000" w:themeColor="text1"/>
          <w:sz w:val="32"/>
          <w:szCs w:val="32"/>
          <w:highlight w:val="none"/>
          <w14:textFill>
            <w14:solidFill>
              <w14:schemeClr w14:val="tx1"/>
            </w14:solidFill>
          </w14:textFill>
        </w:rPr>
        <w:t>参考联合国全球化学品分类和标签管理协调制度（the United Nations（UN）Globally Harmonized System （GHS）of Classification and Labelling of Chemicals）的化学品急性毒性分类标准</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对</w:t>
      </w:r>
      <w:r>
        <w:rPr>
          <w:rFonts w:hint="eastAsia" w:eastAsia="仿宋" w:cs="Times New Roman"/>
          <w:color w:val="000000" w:themeColor="text1"/>
          <w:sz w:val="32"/>
          <w:szCs w:val="32"/>
          <w:highlight w:val="none"/>
          <w:lang w:val="en-US" w:eastAsia="zh-CN"/>
          <w14:textFill>
            <w14:solidFill>
              <w14:schemeClr w14:val="tx1"/>
            </w14:solidFill>
          </w14:textFill>
        </w:rPr>
        <w:t>受试物的</w:t>
      </w:r>
      <w:r>
        <w:rPr>
          <w:rFonts w:hint="default" w:ascii="Times New Roman" w:hAnsi="Times New Roman" w:eastAsia="仿宋" w:cs="Times New Roman"/>
          <w:color w:val="000000" w:themeColor="text1"/>
          <w:sz w:val="32"/>
          <w:szCs w:val="32"/>
          <w:highlight w:val="none"/>
          <w14:textFill>
            <w14:solidFill>
              <w14:schemeClr w14:val="tx1"/>
            </w14:solidFill>
          </w14:textFill>
        </w:rPr>
        <w:t>急性</w:t>
      </w:r>
      <w:r>
        <w:rPr>
          <w:rFonts w:hint="eastAsia" w:eastAsia="仿宋" w:cs="Times New Roman"/>
          <w:color w:val="000000" w:themeColor="text1"/>
          <w:sz w:val="32"/>
          <w:szCs w:val="32"/>
          <w:highlight w:val="none"/>
          <w:lang w:val="en-US" w:eastAsia="zh-CN"/>
          <w14:textFill>
            <w14:solidFill>
              <w14:schemeClr w14:val="tx1"/>
            </w14:solidFill>
          </w14:textFill>
        </w:rPr>
        <w:t>吸入</w:t>
      </w:r>
      <w:r>
        <w:rPr>
          <w:rFonts w:hint="default" w:ascii="Times New Roman" w:hAnsi="Times New Roman" w:eastAsia="仿宋" w:cs="Times New Roman"/>
          <w:color w:val="000000" w:themeColor="text1"/>
          <w:sz w:val="32"/>
          <w:szCs w:val="32"/>
          <w:highlight w:val="none"/>
          <w14:textFill>
            <w14:solidFill>
              <w14:schemeClr w14:val="tx1"/>
            </w14:solidFill>
          </w14:textFill>
        </w:rPr>
        <w:t>毒性进行分类。</w:t>
      </w:r>
      <w:r>
        <w:rPr>
          <w:rFonts w:hint="eastAsia" w:eastAsia="仿宋" w:cs="Times New Roman"/>
          <w:color w:val="000000" w:themeColor="text1"/>
          <w:sz w:val="32"/>
          <w:szCs w:val="32"/>
          <w:highlight w:val="none"/>
          <w:lang w:val="en-US" w:eastAsia="zh-CN"/>
          <w14:textFill>
            <w14:solidFill>
              <w14:schemeClr w14:val="tx1"/>
            </w14:solidFill>
          </w14:textFill>
        </w:rPr>
        <w:t>通过</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急性吸入毒性试验 急性毒性</w:t>
      </w:r>
      <w:r>
        <w:rPr>
          <w:rFonts w:hint="eastAsia" w:eastAsia="仿宋" w:cs="Times New Roman"/>
          <w:color w:val="000000" w:themeColor="text1"/>
          <w:sz w:val="32"/>
          <w:szCs w:val="32"/>
          <w:highlight w:val="none"/>
          <w:lang w:eastAsia="zh-CN"/>
          <w14:textFill>
            <w14:solidFill>
              <w14:schemeClr w14:val="tx1"/>
            </w14:solidFill>
          </w14:textFill>
        </w:rPr>
        <w:t>分类法</w:t>
      </w:r>
      <w:r>
        <w:rPr>
          <w:rFonts w:hint="eastAsia" w:eastAsia="仿宋" w:cs="Times New Roman"/>
          <w:color w:val="000000" w:themeColor="text1"/>
          <w:sz w:val="32"/>
          <w:szCs w:val="32"/>
          <w:highlight w:val="none"/>
          <w:lang w:val="en-US" w:eastAsia="zh-CN"/>
          <w14:textFill>
            <w14:solidFill>
              <w14:schemeClr w14:val="tx1"/>
            </w14:solidFill>
          </w14:textFill>
        </w:rPr>
        <w:t>获得的受试物</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急性吸入毒性</w:t>
      </w:r>
      <w:r>
        <w:rPr>
          <w:rFonts w:hint="eastAsia" w:eastAsia="仿宋" w:cs="Times New Roman"/>
          <w:color w:val="000000" w:themeColor="text1"/>
          <w:sz w:val="32"/>
          <w:szCs w:val="32"/>
          <w:highlight w:val="none"/>
          <w:lang w:val="en-US" w:eastAsia="zh-CN"/>
          <w14:textFill>
            <w14:solidFill>
              <w14:schemeClr w14:val="tx1"/>
            </w14:solidFill>
          </w14:textFill>
        </w:rPr>
        <w:t>相关毒理学数据和资料还可作为</w:t>
      </w:r>
      <w:r>
        <w:rPr>
          <w:rFonts w:hint="default" w:ascii="Times New Roman" w:hAnsi="Times New Roman" w:eastAsia="仿宋" w:cs="Times New Roman"/>
          <w:color w:val="000000" w:themeColor="text1"/>
          <w:sz w:val="32"/>
          <w:szCs w:val="32"/>
          <w:highlight w:val="none"/>
          <w14:textFill>
            <w14:solidFill>
              <w14:schemeClr w14:val="tx1"/>
            </w14:solidFill>
          </w14:textFill>
        </w:rPr>
        <w:t>确定</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28天/90天重复吸入染毒及</w:t>
      </w:r>
      <w:r>
        <w:rPr>
          <w:rFonts w:hint="default" w:ascii="Times New Roman" w:hAnsi="Times New Roman" w:eastAsia="仿宋" w:cs="Times New Roman"/>
          <w:color w:val="000000" w:themeColor="text1"/>
          <w:sz w:val="32"/>
          <w:szCs w:val="32"/>
          <w:highlight w:val="none"/>
          <w14:textFill>
            <w14:solidFill>
              <w14:schemeClr w14:val="tx1"/>
            </w14:solidFill>
          </w14:textFill>
        </w:rPr>
        <w:t>其他</w:t>
      </w:r>
      <w:r>
        <w:rPr>
          <w:rFonts w:hint="eastAsia" w:eastAsia="仿宋" w:cs="Times New Roman"/>
          <w:color w:val="000000" w:themeColor="text1"/>
          <w:sz w:val="32"/>
          <w:szCs w:val="32"/>
          <w:highlight w:val="none"/>
          <w:lang w:val="en-US" w:eastAsia="zh-CN"/>
          <w14:textFill>
            <w14:solidFill>
              <w14:schemeClr w14:val="tx1"/>
            </w14:solidFill>
          </w14:textFill>
        </w:rPr>
        <w:t>相关</w:t>
      </w:r>
      <w:r>
        <w:rPr>
          <w:rFonts w:hint="default" w:ascii="Times New Roman" w:hAnsi="Times New Roman" w:eastAsia="仿宋" w:cs="Times New Roman"/>
          <w:color w:val="000000" w:themeColor="text1"/>
          <w:sz w:val="32"/>
          <w:szCs w:val="32"/>
          <w:highlight w:val="none"/>
          <w14:textFill>
            <w14:solidFill>
              <w14:schemeClr w14:val="tx1"/>
            </w14:solidFill>
          </w14:textFill>
        </w:rPr>
        <w:t>毒理</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学</w:t>
      </w:r>
      <w:r>
        <w:rPr>
          <w:rFonts w:hint="default" w:ascii="Times New Roman" w:hAnsi="Times New Roman" w:eastAsia="仿宋" w:cs="Times New Roman"/>
          <w:color w:val="000000" w:themeColor="text1"/>
          <w:sz w:val="32"/>
          <w:szCs w:val="32"/>
          <w:highlight w:val="none"/>
          <w14:textFill>
            <w14:solidFill>
              <w14:schemeClr w14:val="tx1"/>
            </w14:solidFill>
          </w14:textFill>
        </w:rPr>
        <w:t>试验</w:t>
      </w:r>
      <w:r>
        <w:rPr>
          <w:rFonts w:hint="eastAsia" w:eastAsia="仿宋" w:cs="Times New Roman"/>
          <w:color w:val="000000" w:themeColor="text1"/>
          <w:sz w:val="32"/>
          <w:szCs w:val="32"/>
          <w:highlight w:val="none"/>
          <w:lang w:val="en-US" w:eastAsia="zh-CN"/>
          <w14:textFill>
            <w14:solidFill>
              <w14:schemeClr w14:val="tx1"/>
            </w14:solidFill>
          </w14:textFill>
        </w:rPr>
        <w:t>设计和</w:t>
      </w:r>
      <w:r>
        <w:rPr>
          <w:rFonts w:hint="default" w:ascii="Times New Roman" w:hAnsi="Times New Roman" w:eastAsia="仿宋" w:cs="Times New Roman"/>
          <w:color w:val="000000" w:themeColor="text1"/>
          <w:sz w:val="32"/>
          <w:szCs w:val="32"/>
          <w:highlight w:val="none"/>
          <w14:textFill>
            <w14:solidFill>
              <w14:schemeClr w14:val="tx1"/>
            </w14:solidFill>
          </w14:textFill>
        </w:rPr>
        <w:t>剂量</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选择</w:t>
      </w:r>
      <w:r>
        <w:rPr>
          <w:rFonts w:hint="default" w:ascii="Times New Roman" w:hAnsi="Times New Roman" w:eastAsia="仿宋" w:cs="Times New Roman"/>
          <w:color w:val="000000" w:themeColor="text1"/>
          <w:sz w:val="32"/>
          <w:szCs w:val="32"/>
          <w:highlight w:val="none"/>
          <w14:textFill>
            <w14:solidFill>
              <w14:schemeClr w14:val="tx1"/>
            </w14:solidFill>
          </w14:textFill>
        </w:rPr>
        <w:t>的依据</w:t>
      </w:r>
      <w:r>
        <w:rPr>
          <w:rFonts w:hint="eastAsia" w:eastAsia="仿宋" w:cs="Times New Roman"/>
          <w:color w:val="000000" w:themeColor="text1"/>
          <w:sz w:val="32"/>
          <w:szCs w:val="32"/>
          <w:highlight w:val="none"/>
          <w:lang w:val="en-US" w:eastAsia="zh-CN"/>
          <w14:textFill>
            <w14:solidFill>
              <w14:schemeClr w14:val="tx1"/>
            </w14:solidFill>
          </w14:textFill>
        </w:rPr>
        <w:t>之一</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360" w:lineRule="auto"/>
        <w:ind w:firstLine="640" w:firstLineChars="200"/>
        <w:jc w:val="both"/>
        <w:outlineLvl w:val="9"/>
        <w:rPr>
          <w:rFonts w:hint="default" w:ascii="Times New Roman" w:hAnsi="Times New Roman" w:eastAsia="仿宋" w:cs="Times New Roman"/>
          <w:color w:val="000000" w:themeColor="text1"/>
          <w:sz w:val="32"/>
          <w:szCs w:val="32"/>
          <w:highlight w:val="none"/>
          <w:lang w:val="en-US"/>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t>本指导原则适用于</w:t>
      </w:r>
      <w:r>
        <w:rPr>
          <w:rFonts w:hint="eastAsia" w:eastAsia="仿宋" w:cs="Times New Roman"/>
          <w:color w:val="000000" w:themeColor="text1"/>
          <w:sz w:val="32"/>
          <w:szCs w:val="32"/>
          <w:highlight w:val="none"/>
          <w:lang w:val="en-US" w:eastAsia="zh-CN"/>
          <w14:textFill>
            <w14:solidFill>
              <w14:schemeClr w14:val="tx1"/>
            </w14:solidFill>
          </w14:textFill>
        </w:rPr>
        <w:t>单一成分的化妆品原料，非单一成分的原料若使用本方法进行评价，需要提供更多的科学依据说明其可行性。</w:t>
      </w:r>
      <w: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t>本指导原则</w:t>
      </w:r>
      <w:r>
        <w:rPr>
          <w:rFonts w:hint="eastAsia" w:eastAsia="仿宋" w:cs="Times New Roman"/>
          <w:color w:val="000000" w:themeColor="text1"/>
          <w:sz w:val="32"/>
          <w:szCs w:val="32"/>
          <w:highlight w:val="none"/>
          <w:lang w:val="en-US" w:eastAsia="zh-CN"/>
          <w14:textFill>
            <w14:solidFill>
              <w14:schemeClr w14:val="tx1"/>
            </w14:solidFill>
          </w14:textFill>
        </w:rPr>
        <w:t>适</w:t>
      </w:r>
      <w: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t>用于</w:t>
      </w:r>
      <w:r>
        <w:rPr>
          <w:rFonts w:hint="eastAsia" w:eastAsia="仿宋" w:cs="Times New Roman"/>
          <w:color w:val="000000" w:themeColor="text1"/>
          <w:sz w:val="32"/>
          <w:szCs w:val="32"/>
          <w:highlight w:val="none"/>
          <w:lang w:val="en-US" w:eastAsia="zh-CN"/>
          <w14:textFill>
            <w14:solidFill>
              <w14:schemeClr w14:val="tx1"/>
            </w14:solidFill>
          </w14:textFill>
        </w:rPr>
        <w:t>对</w:t>
      </w:r>
      <w:r>
        <w:rPr>
          <w:rFonts w:hint="default" w:ascii="Times New Roman" w:hAnsi="Times New Roman" w:eastAsia="仿宋" w:cs="Times New Roman"/>
          <w:color w:val="000000" w:themeColor="text1"/>
          <w:sz w:val="32"/>
          <w:szCs w:val="32"/>
          <w:highlight w:val="none"/>
          <w14:textFill>
            <w14:solidFill>
              <w14:schemeClr w14:val="tx1"/>
            </w14:solidFill>
          </w14:textFill>
        </w:rPr>
        <w:t>可能存在吸入暴露的</w:t>
      </w:r>
      <w: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t>化妆品原料的</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毒性</w:t>
      </w:r>
      <w:r>
        <w:rPr>
          <w:rFonts w:hint="eastAsia" w:eastAsia="仿宋" w:cs="Times New Roman"/>
          <w:color w:val="000000" w:themeColor="text1"/>
          <w:sz w:val="32"/>
          <w:szCs w:val="32"/>
          <w:highlight w:val="none"/>
          <w:lang w:val="en-US" w:eastAsia="zh-CN"/>
          <w14:textFill>
            <w14:solidFill>
              <w14:schemeClr w14:val="tx1"/>
            </w14:solidFill>
          </w14:textFill>
        </w:rPr>
        <w:t>分类</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t>研究及安全评估</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，不适用于某些特殊的材料，如难溶的等</w:t>
      </w:r>
      <w:r>
        <w:rPr>
          <w:rFonts w:hint="eastAsia" w:eastAsia="仿宋" w:cs="Times New Roman"/>
          <w:color w:val="000000" w:themeColor="text1"/>
          <w:sz w:val="32"/>
          <w:szCs w:val="32"/>
          <w:highlight w:val="none"/>
          <w:lang w:val="en-US" w:eastAsia="zh-CN"/>
          <w14:textFill>
            <w14:solidFill>
              <w14:schemeClr w14:val="tx1"/>
            </w14:solidFill>
          </w14:textFill>
        </w:rPr>
        <w:t>轴状（</w:t>
      </w:r>
      <w:r>
        <w:rPr>
          <w:rFonts w:hint="default" w:ascii="Times New Roman" w:hAnsi="Times New Roman" w:eastAsia="仿宋" w:cs="Times New Roman"/>
          <w:color w:val="000000" w:themeColor="text1"/>
          <w:sz w:val="32"/>
          <w:szCs w:val="32"/>
          <w:highlight w:val="none"/>
          <w14:textFill>
            <w14:solidFill>
              <w14:schemeClr w14:val="tx1"/>
            </w14:solidFill>
          </w14:textFill>
        </w:rPr>
        <w:t>isometric</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或纤维</w:t>
      </w:r>
      <w:r>
        <w:rPr>
          <w:rFonts w:hint="eastAsia" w:eastAsia="仿宋" w:cs="Times New Roman"/>
          <w:color w:val="000000" w:themeColor="text1"/>
          <w:sz w:val="32"/>
          <w:szCs w:val="32"/>
          <w:highlight w:val="none"/>
          <w:lang w:val="en-US" w:eastAsia="zh-CN"/>
          <w14:textFill>
            <w14:solidFill>
              <w14:schemeClr w14:val="tx1"/>
            </w14:solidFill>
          </w14:textFill>
        </w:rPr>
        <w:t>状（</w:t>
      </w:r>
      <w:r>
        <w:rPr>
          <w:rFonts w:hint="default" w:ascii="Times New Roman" w:hAnsi="Times New Roman" w:eastAsia="仿宋" w:cs="Times New Roman"/>
          <w:color w:val="000000" w:themeColor="text1"/>
          <w:sz w:val="32"/>
          <w:szCs w:val="32"/>
          <w:highlight w:val="none"/>
          <w14:textFill>
            <w14:solidFill>
              <w14:schemeClr w14:val="tx1"/>
            </w14:solidFill>
          </w14:textFill>
        </w:rPr>
        <w:t>fibrous</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材料、</w:t>
      </w:r>
      <w:r>
        <w:rPr>
          <w:rFonts w:hint="eastAsia" w:eastAsia="仿宋" w:cs="Times New Roman"/>
          <w:color w:val="000000" w:themeColor="text1"/>
          <w:sz w:val="32"/>
          <w:szCs w:val="32"/>
          <w:highlight w:val="none"/>
          <w:lang w:val="en-US" w:eastAsia="zh-CN"/>
          <w14:textFill>
            <w14:solidFill>
              <w14:schemeClr w14:val="tx1"/>
            </w14:solidFill>
          </w14:textFill>
        </w:rPr>
        <w:t>人造</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纳米</w:t>
      </w:r>
      <w:r>
        <w:rPr>
          <w:rFonts w:hint="eastAsia" w:eastAsia="仿宋" w:cs="Times New Roman"/>
          <w:color w:val="000000" w:themeColor="text1"/>
          <w:sz w:val="32"/>
          <w:szCs w:val="32"/>
          <w:highlight w:val="none"/>
          <w:lang w:val="en-US" w:eastAsia="zh-CN"/>
          <w14:textFill>
            <w14:solidFill>
              <w14:schemeClr w14:val="tx1"/>
            </w14:solidFill>
          </w14:textFill>
        </w:rPr>
        <w:t>材料（</w:t>
      </w:r>
      <w:r>
        <w:rPr>
          <w:rFonts w:hint="default" w:ascii="Times New Roman" w:hAnsi="Times New Roman" w:eastAsia="仿宋" w:cs="Times New Roman"/>
          <w:color w:val="000000" w:themeColor="text1"/>
          <w:sz w:val="32"/>
          <w:szCs w:val="32"/>
          <w:highlight w:val="none"/>
          <w14:textFill>
            <w14:solidFill>
              <w14:schemeClr w14:val="tx1"/>
            </w14:solidFill>
          </w14:textFill>
        </w:rPr>
        <w:t>manufactured nanomaterials</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等的急性吸入毒性</w:t>
      </w:r>
      <w:r>
        <w:rPr>
          <w:rFonts w:hint="eastAsia" w:eastAsia="仿宋" w:cs="Times New Roman"/>
          <w:color w:val="000000" w:themeColor="text1"/>
          <w:sz w:val="32"/>
          <w:szCs w:val="32"/>
          <w:highlight w:val="none"/>
          <w:lang w:val="en-US" w:eastAsia="zh-CN"/>
          <w14:textFill>
            <w14:solidFill>
              <w14:schemeClr w14:val="tx1"/>
            </w14:solidFill>
          </w14:textFill>
        </w:rPr>
        <w:t>测试</w:t>
      </w:r>
      <w:r>
        <w:rPr>
          <w:rFonts w:hint="default" w:ascii="Times New Roman" w:hAnsi="Times New Roman" w:eastAsia="仿宋" w:cs="Times New Roman"/>
          <w:color w:val="000000" w:themeColor="text1"/>
          <w:sz w:val="32"/>
          <w:szCs w:val="32"/>
          <w:highlight w:val="none"/>
          <w14:textFill>
            <w14:solidFill>
              <w14:schemeClr w14:val="tx1"/>
            </w14:solidFill>
          </w14:textFill>
        </w:rPr>
        <w:t xml:space="preserve">。 </w:t>
      </w:r>
      <w: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t>本指导原则依据《化妆品安全技术规范》《化妆品注册和备案检验工作规范》《化妆品注册备案资料管理规定》《化妆品新原料注册备案资料管理规定》等相关要求，并参考</w:t>
      </w:r>
      <w:r>
        <w:rPr>
          <w:rFonts w:hint="eastAsia" w:eastAsia="仿宋" w:cs="Times New Roman"/>
          <w:color w:val="000000" w:themeColor="text1"/>
          <w:sz w:val="32"/>
          <w:szCs w:val="32"/>
          <w:highlight w:val="none"/>
          <w:lang w:val="en-US" w:eastAsia="zh-CN"/>
          <w14:textFill>
            <w14:solidFill>
              <w14:schemeClr w14:val="tx1"/>
            </w14:solidFill>
          </w14:textFill>
        </w:rPr>
        <w:t>《OECD化学品测试指南第436号：急性吸入毒性试验 急性毒性分类法》、中华人民共和国国家标准《GB/T 28648-2012 化学品 急性吸入毒性试验 急性毒性分类法》等</w:t>
      </w:r>
      <w: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t>国内外相关</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技术</w:t>
      </w:r>
      <w:r>
        <w:rPr>
          <w:rFonts w:hint="default" w:ascii="Times New Roman" w:hAnsi="Times New Roman" w:eastAsia="仿宋" w:cs="Times New Roman"/>
          <w:color w:val="000000" w:themeColor="text1"/>
          <w:sz w:val="32"/>
          <w:szCs w:val="32"/>
          <w:highlight w:val="none"/>
          <w:lang w:val="en-US"/>
          <w14:textFill>
            <w14:solidFill>
              <w14:schemeClr w14:val="tx1"/>
            </w14:solidFill>
          </w14:textFill>
        </w:rPr>
        <w:t>指南制定。</w:t>
      </w:r>
    </w:p>
    <w:p>
      <w:pPr>
        <w:spacing w:line="360" w:lineRule="auto"/>
        <w:ind w:firstLine="640" w:firstLineChars="200"/>
        <w:jc w:val="both"/>
        <w:outlineLvl w:val="9"/>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本指导原则是在现行法规和标准以及当前科学认知水平下制定的，随着法规和标准的更新完善，以及科学技术的发展，将适时进行调整。</w:t>
      </w:r>
    </w:p>
    <w:p>
      <w:pPr>
        <w:widowControl w:val="0"/>
        <w:spacing w:line="240" w:lineRule="auto"/>
        <w:ind w:firstLine="601" w:firstLineChars="0"/>
        <w:jc w:val="both"/>
        <w:outlineLvl w:val="0"/>
        <w:rPr>
          <w:rFonts w:hint="default" w:ascii="Times New Roman" w:hAnsi="Times New Roman" w:eastAsia="黑体" w:cs="Times New Roman"/>
          <w:b w:val="0"/>
          <w:bCs/>
          <w:color w:val="000000" w:themeColor="text1"/>
          <w:sz w:val="32"/>
          <w:szCs w:val="32"/>
          <w:highlight w:val="none"/>
          <w14:textFill>
            <w14:solidFill>
              <w14:schemeClr w14:val="tx1"/>
            </w14:solidFill>
          </w14:textFill>
        </w:rPr>
      </w:pPr>
      <w:bookmarkStart w:id="9" w:name="_Toc24209"/>
      <w:bookmarkStart w:id="10" w:name="_Toc139684102"/>
      <w:bookmarkStart w:id="11" w:name="_Toc16427"/>
      <w:bookmarkStart w:id="12" w:name="_Toc29000"/>
      <w:bookmarkStart w:id="13" w:name="_Toc1391"/>
      <w:bookmarkStart w:id="14" w:name="_Toc9655"/>
      <w:bookmarkStart w:id="15" w:name="_Toc26526"/>
      <w:bookmarkStart w:id="16" w:name="_Toc21887"/>
      <w:bookmarkStart w:id="17" w:name="_Toc120947970"/>
      <w:bookmarkStart w:id="18" w:name="_Toc8223"/>
      <w:bookmarkStart w:id="19" w:name="_Toc17592"/>
      <w:bookmarkStart w:id="20" w:name="_Toc121730508"/>
      <w:r>
        <w:rPr>
          <w:rFonts w:hint="default" w:ascii="Times New Roman" w:hAnsi="Times New Roman" w:eastAsia="黑体" w:cs="Times New Roman"/>
          <w:b w:val="0"/>
          <w:bCs/>
          <w:color w:val="000000" w:themeColor="text1"/>
          <w:sz w:val="32"/>
          <w:szCs w:val="32"/>
          <w:highlight w:val="none"/>
          <w14:textFill>
            <w14:solidFill>
              <w14:schemeClr w14:val="tx1"/>
            </w14:solidFill>
          </w14:textFill>
        </w:rPr>
        <w:t>二、</w:t>
      </w:r>
      <w:bookmarkEnd w:id="9"/>
      <w:bookmarkEnd w:id="10"/>
      <w:bookmarkEnd w:id="11"/>
      <w:bookmarkEnd w:id="12"/>
      <w:bookmarkEnd w:id="13"/>
      <w:bookmarkEnd w:id="14"/>
      <w:bookmarkEnd w:id="15"/>
      <w:bookmarkEnd w:id="16"/>
      <w:bookmarkEnd w:id="17"/>
      <w:bookmarkEnd w:id="18"/>
      <w:bookmarkEnd w:id="19"/>
      <w:r>
        <w:rPr>
          <w:rFonts w:hint="default" w:ascii="Times New Roman" w:hAnsi="Times New Roman" w:eastAsia="黑体" w:cs="Times New Roman"/>
          <w:b w:val="0"/>
          <w:bCs/>
          <w:color w:val="000000" w:themeColor="text1"/>
          <w:sz w:val="32"/>
          <w:szCs w:val="32"/>
          <w:highlight w:val="none"/>
          <w14:textFill>
            <w14:solidFill>
              <w14:schemeClr w14:val="tx1"/>
            </w14:solidFill>
          </w14:textFill>
        </w:rPr>
        <w:t>基本原则</w:t>
      </w:r>
      <w:bookmarkEnd w:id="20"/>
    </w:p>
    <w:p>
      <w:pPr>
        <w:autoSpaceDE w:val="0"/>
        <w:autoSpaceDN w:val="0"/>
        <w:adjustRightInd w:val="0"/>
        <w:spacing w:line="360" w:lineRule="auto"/>
        <w:ind w:firstLine="643" w:firstLineChars="200"/>
        <w:outlineLvl w:val="1"/>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t>（一）</w:t>
      </w:r>
      <w:bookmarkStart w:id="21" w:name="_Toc7528"/>
      <w:bookmarkStart w:id="22" w:name="_Toc356"/>
      <w:bookmarkStart w:id="23" w:name="_Toc23400"/>
      <w:bookmarkStart w:id="24" w:name="_Toc25560"/>
      <w:bookmarkStart w:id="25" w:name="_Toc26525"/>
      <w:bookmarkStart w:id="26" w:name="_Toc144629258"/>
      <w:bookmarkStart w:id="27" w:name="_Toc16356"/>
      <w:r>
        <w:rPr>
          <w:rFonts w:hint="eastAsia" w:ascii="仿宋" w:hAnsi="仿宋" w:eastAsia="仿宋" w:cs="仿宋"/>
          <w:b/>
          <w:color w:val="000000" w:themeColor="text1"/>
          <w:sz w:val="32"/>
          <w:szCs w:val="32"/>
          <w:highlight w:val="none"/>
          <w14:textFill>
            <w14:solidFill>
              <w14:schemeClr w14:val="tx1"/>
            </w14:solidFill>
          </w14:textFill>
        </w:rPr>
        <w:t>一般原则</w:t>
      </w:r>
      <w:bookmarkEnd w:id="21"/>
      <w:bookmarkEnd w:id="22"/>
      <w:bookmarkEnd w:id="23"/>
      <w:bookmarkEnd w:id="24"/>
      <w:bookmarkEnd w:id="25"/>
      <w:bookmarkEnd w:id="26"/>
    </w:p>
    <w:p>
      <w:pPr>
        <w:widowControl/>
        <w:autoSpaceDE w:val="0"/>
        <w:autoSpaceDN w:val="0"/>
        <w:adjustRightInd w:val="0"/>
        <w:spacing w:line="360" w:lineRule="auto"/>
        <w:ind w:firstLine="640" w:firstLineChars="200"/>
        <w:jc w:val="left"/>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本试验的</w:t>
      </w:r>
      <w:r>
        <w:rPr>
          <w:rFonts w:hint="eastAsia" w:ascii="仿宋" w:hAnsi="仿宋" w:eastAsia="仿宋" w:cs="仿宋"/>
          <w:color w:val="000000" w:themeColor="text1"/>
          <w:sz w:val="32"/>
          <w:szCs w:val="32"/>
          <w:highlight w:val="none"/>
          <w14:textFill>
            <w14:solidFill>
              <w14:schemeClr w14:val="tx1"/>
            </w14:solidFill>
          </w14:textFill>
        </w:rPr>
        <w:t>设计应符合毒理学试验随机、对照、重复的基本原则，试验数据应真实、完整、准确、可追溯，试验结果统计分析应科学合理。</w:t>
      </w:r>
      <w:bookmarkEnd w:id="27"/>
    </w:p>
    <w:p>
      <w:pPr>
        <w:autoSpaceDE w:val="0"/>
        <w:autoSpaceDN w:val="0"/>
        <w:adjustRightInd w:val="0"/>
        <w:spacing w:line="360" w:lineRule="auto"/>
        <w:ind w:firstLine="640" w:firstLineChars="200"/>
        <w:jc w:val="left"/>
        <w:outlineLvl w:val="9"/>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在进行动物试验时，应</w:t>
      </w:r>
      <w:r>
        <w:rPr>
          <w:rFonts w:hint="eastAsia" w:ascii="仿宋" w:hAnsi="仿宋" w:eastAsia="仿宋" w:cs="仿宋"/>
          <w:color w:val="000000" w:themeColor="text1"/>
          <w:sz w:val="32"/>
          <w:szCs w:val="32"/>
          <w:highlight w:val="none"/>
          <w14:textFill>
            <w14:solidFill>
              <w14:schemeClr w14:val="tx1"/>
            </w14:solidFill>
          </w14:textFill>
        </w:rPr>
        <w:t>符合动物福利要求及</w:t>
      </w:r>
      <w:r>
        <w:rPr>
          <w:rFonts w:hint="eastAsia" w:ascii="仿宋" w:hAnsi="仿宋" w:eastAsia="仿宋" w:cs="仿宋"/>
          <w:color w:val="000000" w:themeColor="text1"/>
          <w:sz w:val="32"/>
          <w:szCs w:val="32"/>
          <w:highlight w:val="none"/>
          <w:lang w:eastAsia="zh-CN"/>
          <w14:textFill>
            <w14:solidFill>
              <w14:schemeClr w14:val="tx1"/>
            </w14:solidFill>
          </w14:textFill>
        </w:rPr>
        <w:t>“</w:t>
      </w:r>
      <w:r>
        <w:rPr>
          <w:rFonts w:hint="eastAsia" w:ascii="仿宋" w:hAnsi="仿宋" w:eastAsia="仿宋" w:cs="仿宋"/>
          <w:color w:val="000000" w:themeColor="text1"/>
          <w:sz w:val="32"/>
          <w:szCs w:val="32"/>
          <w:highlight w:val="none"/>
          <w14:textFill>
            <w14:solidFill>
              <w14:schemeClr w14:val="tx1"/>
            </w14:solidFill>
          </w14:textFill>
        </w:rPr>
        <w:t>3R（</w:t>
      </w:r>
      <w:r>
        <w:rPr>
          <w:rFonts w:hint="eastAsia" w:ascii="仿宋" w:hAnsi="仿宋" w:eastAsia="仿宋" w:cs="仿宋"/>
          <w:color w:val="000000" w:themeColor="text1"/>
          <w:sz w:val="32"/>
          <w:szCs w:val="32"/>
          <w:highlight w:val="none"/>
          <w:lang w:val="en-US" w:eastAsia="zh-CN"/>
          <w14:textFill>
            <w14:solidFill>
              <w14:schemeClr w14:val="tx1"/>
            </w14:solidFill>
          </w14:textFill>
        </w:rPr>
        <w:t>即</w:t>
      </w:r>
      <w:r>
        <w:rPr>
          <w:rFonts w:hint="eastAsia" w:ascii="仿宋" w:hAnsi="仿宋" w:eastAsia="仿宋" w:cs="仿宋"/>
          <w:color w:val="000000" w:themeColor="text1"/>
          <w:sz w:val="32"/>
          <w:szCs w:val="32"/>
          <w:highlight w:val="none"/>
          <w14:textFill>
            <w14:solidFill>
              <w14:schemeClr w14:val="tx1"/>
            </w14:solidFill>
          </w14:textFill>
        </w:rPr>
        <w:t>替代、减少、优化）原则</w:t>
      </w:r>
      <w:r>
        <w:rPr>
          <w:rFonts w:hint="eastAsia" w:ascii="仿宋" w:hAnsi="仿宋" w:eastAsia="仿宋" w:cs="仿宋"/>
          <w:color w:val="000000" w:themeColor="text1"/>
          <w:sz w:val="32"/>
          <w:szCs w:val="32"/>
          <w:highlight w:val="none"/>
          <w:lang w:eastAsia="zh-CN"/>
          <w14:textFill>
            <w14:solidFill>
              <w14:schemeClr w14:val="tx1"/>
            </w14:solidFill>
          </w14:textFill>
        </w:rPr>
        <w:t>”</w:t>
      </w:r>
      <w:r>
        <w:rPr>
          <w:rFonts w:hint="eastAsia" w:ascii="仿宋" w:hAnsi="仿宋" w:eastAsia="仿宋" w:cs="仿宋"/>
          <w:color w:val="000000" w:themeColor="text1"/>
          <w:sz w:val="32"/>
          <w:szCs w:val="32"/>
          <w:highlight w:val="none"/>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本试验应在受试物不引起动物因腐蚀性或严重刺激性而造成剧痛或</w:t>
      </w:r>
      <w:r>
        <w:rPr>
          <w:rFonts w:hint="eastAsia" w:eastAsia="仿宋" w:cs="Times New Roman"/>
          <w:color w:val="000000" w:themeColor="text1"/>
          <w:sz w:val="32"/>
          <w:szCs w:val="32"/>
          <w:highlight w:val="none"/>
          <w:lang w:eastAsia="zh-CN"/>
          <w14:textFill>
            <w14:solidFill>
              <w14:schemeClr w14:val="tx1"/>
            </w14:solidFill>
          </w14:textFill>
        </w:rPr>
        <w:t>应激反应</w:t>
      </w:r>
      <w:r>
        <w:rPr>
          <w:rFonts w:hint="default" w:ascii="Times New Roman" w:hAnsi="Times New Roman" w:eastAsia="仿宋" w:cs="Times New Roman"/>
          <w:color w:val="000000" w:themeColor="text1"/>
          <w:sz w:val="32"/>
          <w:szCs w:val="32"/>
          <w:highlight w:val="none"/>
          <w14:textFill>
            <w14:solidFill>
              <w14:schemeClr w14:val="tx1"/>
            </w14:solidFill>
          </w14:textFill>
        </w:rPr>
        <w:t>的浓度下进行。本方法以受试动物死亡率为试验观察终点，但在动物已处于剧痛、</w:t>
      </w:r>
      <w:r>
        <w:rPr>
          <w:rFonts w:hint="eastAsia" w:eastAsia="仿宋" w:cs="Times New Roman"/>
          <w:color w:val="000000" w:themeColor="text1"/>
          <w:sz w:val="32"/>
          <w:szCs w:val="32"/>
          <w:highlight w:val="none"/>
          <w:lang w:eastAsia="zh-CN"/>
          <w14:textFill>
            <w14:solidFill>
              <w14:schemeClr w14:val="tx1"/>
            </w14:solidFill>
          </w14:textFill>
        </w:rPr>
        <w:t>应激反应</w:t>
      </w:r>
      <w:r>
        <w:rPr>
          <w:rFonts w:hint="default" w:ascii="Times New Roman" w:hAnsi="Times New Roman" w:eastAsia="仿宋" w:cs="Times New Roman"/>
          <w:color w:val="000000" w:themeColor="text1"/>
          <w:sz w:val="32"/>
          <w:szCs w:val="32"/>
          <w:highlight w:val="none"/>
          <w14:textFill>
            <w14:solidFill>
              <w14:schemeClr w14:val="tx1"/>
            </w14:solidFill>
          </w14:textFill>
        </w:rPr>
        <w:t>或濒死</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等</w:t>
      </w:r>
      <w:r>
        <w:rPr>
          <w:rFonts w:hint="default" w:ascii="Times New Roman" w:hAnsi="Times New Roman" w:eastAsia="仿宋" w:cs="Times New Roman"/>
          <w:color w:val="000000" w:themeColor="text1"/>
          <w:sz w:val="32"/>
          <w:szCs w:val="32"/>
          <w:highlight w:val="none"/>
          <w14:textFill>
            <w14:solidFill>
              <w14:schemeClr w14:val="tx1"/>
            </w14:solidFill>
          </w14:textFill>
        </w:rPr>
        <w:t>状况下，从动物保护的伦理角度考虑，应遵循一定的程序对试验动物实施人道处死。对动物做出人道处死的标准及预测不可避免死亡的确认方法，可参考</w:t>
      </w:r>
      <w:r>
        <w:rPr>
          <w:rFonts w:hint="eastAsia" w:eastAsia="仿宋" w:cs="Times New Roman"/>
          <w:color w:val="000000" w:themeColor="text1"/>
          <w:sz w:val="32"/>
          <w:szCs w:val="32"/>
          <w:highlight w:val="none"/>
          <w:lang w:eastAsia="zh-CN"/>
          <w14:textFill>
            <w14:solidFill>
              <w14:schemeClr w14:val="tx1"/>
            </w14:solidFill>
          </w14:textFill>
        </w:rPr>
        <w:t>《OECD指导性文件第19号：安全性评价中实验动物人道终点临床症状的识别、评估和应用》</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autoSpaceDE w:val="0"/>
        <w:autoSpaceDN w:val="0"/>
        <w:adjustRightInd w:val="0"/>
        <w:spacing w:line="360" w:lineRule="auto"/>
        <w:ind w:firstLine="643" w:firstLineChars="200"/>
        <w:outlineLvl w:val="1"/>
        <w:rPr>
          <w:rFonts w:hint="eastAsia" w:ascii="仿宋" w:hAnsi="仿宋" w:eastAsia="仿宋" w:cs="仿宋"/>
          <w:b/>
          <w:color w:val="000000" w:themeColor="text1"/>
          <w:sz w:val="32"/>
          <w:szCs w:val="32"/>
          <w:highlight w:val="none"/>
          <w14:textFill>
            <w14:solidFill>
              <w14:schemeClr w14:val="tx1"/>
            </w14:solidFill>
          </w14:textFill>
        </w:rPr>
      </w:pPr>
      <w:bookmarkStart w:id="28" w:name="_Toc18687"/>
      <w:bookmarkStart w:id="29" w:name="_Toc17645"/>
      <w:bookmarkStart w:id="30" w:name="_Toc144629259"/>
      <w:bookmarkStart w:id="31" w:name="_Toc5023"/>
      <w:bookmarkStart w:id="32" w:name="_Toc7947"/>
      <w:bookmarkStart w:id="33" w:name="_Toc8193"/>
      <w:bookmarkStart w:id="34" w:name="_Toc27330"/>
      <w:r>
        <w:rPr>
          <w:rFonts w:hint="eastAsia" w:ascii="仿宋" w:hAnsi="仿宋" w:eastAsia="仿宋" w:cs="仿宋"/>
          <w:b/>
          <w:color w:val="000000" w:themeColor="text1"/>
          <w:sz w:val="32"/>
          <w:szCs w:val="32"/>
          <w:highlight w:val="none"/>
          <w14:textFill>
            <w14:solidFill>
              <w14:schemeClr w14:val="tx1"/>
            </w14:solidFill>
          </w14:textFill>
        </w:rPr>
        <w:t>（二）具体问题具体分析</w:t>
      </w:r>
      <w:bookmarkEnd w:id="28"/>
      <w:bookmarkEnd w:id="29"/>
      <w:bookmarkEnd w:id="30"/>
      <w:bookmarkEnd w:id="31"/>
      <w:bookmarkEnd w:id="32"/>
      <w:bookmarkEnd w:id="33"/>
      <w:bookmarkEnd w:id="34"/>
    </w:p>
    <w:p>
      <w:pPr>
        <w:autoSpaceDE w:val="0"/>
        <w:autoSpaceDN w:val="0"/>
        <w:adjustRightInd w:val="0"/>
        <w:spacing w:line="360" w:lineRule="auto"/>
        <w:ind w:firstLine="640" w:firstLine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lang w:val="en-US" w:eastAsia="zh-CN" w:bidi="ar"/>
          <w14:textFill>
            <w14:solidFill>
              <w14:schemeClr w14:val="tx1"/>
            </w14:solidFill>
          </w14:textFill>
        </w:rPr>
        <w:t>本</w:t>
      </w:r>
      <w:r>
        <w:rPr>
          <w:rFonts w:hint="eastAsia" w:ascii="仿宋" w:hAnsi="仿宋" w:eastAsia="仿宋" w:cs="仿宋"/>
          <w:color w:val="000000" w:themeColor="text1"/>
          <w:sz w:val="32"/>
          <w:szCs w:val="32"/>
          <w:highlight w:val="none"/>
          <w:lang w:bidi="ar"/>
          <w14:textFill>
            <w14:solidFill>
              <w14:schemeClr w14:val="tx1"/>
            </w14:solidFill>
          </w14:textFill>
        </w:rPr>
        <w:t>试验的设计应遵循“具体问题具体分析”的原则</w:t>
      </w:r>
      <w:r>
        <w:rPr>
          <w:rFonts w:hint="eastAsia" w:ascii="仿宋" w:hAnsi="仿宋" w:eastAsia="仿宋" w:cs="仿宋"/>
          <w:color w:val="000000" w:themeColor="text1"/>
          <w:sz w:val="32"/>
          <w:szCs w:val="32"/>
          <w:highlight w:val="none"/>
          <w:lang w:eastAsia="zh-CN" w:bidi="ar"/>
          <w14:textFill>
            <w14:solidFill>
              <w14:schemeClr w14:val="tx1"/>
            </w14:solidFill>
          </w14:textFill>
        </w:rPr>
        <w:t>，</w:t>
      </w:r>
      <w:r>
        <w:rPr>
          <w:rFonts w:hint="eastAsia" w:ascii="仿宋" w:hAnsi="仿宋" w:eastAsia="仿宋" w:cs="仿宋"/>
          <w:color w:val="000000" w:themeColor="text1"/>
          <w:sz w:val="32"/>
          <w:szCs w:val="32"/>
          <w:highlight w:val="none"/>
          <w:lang w:bidi="ar"/>
          <w14:textFill>
            <w14:solidFill>
              <w14:schemeClr w14:val="tx1"/>
            </w14:solidFill>
          </w14:textFill>
        </w:rPr>
        <w:t>根据受试物</w:t>
      </w:r>
      <w:r>
        <w:rPr>
          <w:rFonts w:hint="eastAsia" w:ascii="仿宋" w:hAnsi="仿宋" w:eastAsia="仿宋" w:cs="仿宋"/>
          <w:color w:val="000000" w:themeColor="text1"/>
          <w:sz w:val="32"/>
          <w:szCs w:val="32"/>
          <w:highlight w:val="none"/>
          <w:lang w:val="en-US" w:eastAsia="zh-CN" w:bidi="ar"/>
          <w14:textFill>
            <w14:solidFill>
              <w14:schemeClr w14:val="tx1"/>
            </w14:solidFill>
          </w14:textFill>
        </w:rPr>
        <w:t>自身</w:t>
      </w:r>
      <w:r>
        <w:rPr>
          <w:rFonts w:hint="eastAsia" w:ascii="仿宋" w:hAnsi="仿宋" w:eastAsia="仿宋" w:cs="仿宋"/>
          <w:color w:val="000000" w:themeColor="text1"/>
          <w:sz w:val="32"/>
          <w:szCs w:val="32"/>
          <w:highlight w:val="none"/>
          <w:lang w:bidi="ar"/>
          <w14:textFill>
            <w14:solidFill>
              <w14:schemeClr w14:val="tx1"/>
            </w14:solidFill>
          </w14:textFill>
        </w:rPr>
        <w:t>特点</w:t>
      </w:r>
      <w:r>
        <w:rPr>
          <w:rFonts w:hint="eastAsia" w:ascii="仿宋" w:hAnsi="仿宋" w:eastAsia="仿宋" w:cs="仿宋"/>
          <w:color w:val="000000" w:themeColor="text1"/>
          <w:sz w:val="32"/>
          <w:szCs w:val="32"/>
          <w:highlight w:val="none"/>
          <w:lang w:val="en-US" w:eastAsia="zh-CN" w:bidi="ar"/>
          <w14:textFill>
            <w14:solidFill>
              <w14:schemeClr w14:val="tx1"/>
            </w14:solidFill>
          </w14:textFill>
        </w:rPr>
        <w:t>和性质</w:t>
      </w:r>
      <w:r>
        <w:rPr>
          <w:rFonts w:hint="eastAsia" w:ascii="仿宋" w:hAnsi="仿宋" w:eastAsia="仿宋" w:cs="仿宋"/>
          <w:color w:val="000000" w:themeColor="text1"/>
          <w:sz w:val="32"/>
          <w:szCs w:val="32"/>
          <w:highlight w:val="none"/>
          <w:lang w:bidi="ar"/>
          <w14:textFill>
            <w14:solidFill>
              <w14:schemeClr w14:val="tx1"/>
            </w14:solidFill>
          </w14:textFill>
        </w:rPr>
        <w:t>、现有数据、试验目的等选择合适的试验方法，设计适宜的试验方案，并结合其他毒理研究信息对试验结果进行全面的</w:t>
      </w:r>
      <w:r>
        <w:rPr>
          <w:rFonts w:hint="eastAsia" w:ascii="仿宋" w:hAnsi="仿宋" w:eastAsia="仿宋" w:cs="仿宋"/>
          <w:color w:val="000000" w:themeColor="text1"/>
          <w:sz w:val="32"/>
          <w:szCs w:val="32"/>
          <w:highlight w:val="none"/>
          <w:lang w:val="en-US" w:eastAsia="zh-CN" w:bidi="ar"/>
          <w14:textFill>
            <w14:solidFill>
              <w14:schemeClr w14:val="tx1"/>
            </w14:solidFill>
          </w14:textFill>
        </w:rPr>
        <w:t>分析</w:t>
      </w:r>
      <w:r>
        <w:rPr>
          <w:rFonts w:hint="eastAsia" w:ascii="仿宋" w:hAnsi="仿宋" w:eastAsia="仿宋" w:cs="仿宋"/>
          <w:color w:val="000000" w:themeColor="text1"/>
          <w:sz w:val="32"/>
          <w:szCs w:val="32"/>
          <w:highlight w:val="none"/>
          <w:lang w:bidi="ar"/>
          <w14:textFill>
            <w14:solidFill>
              <w14:schemeClr w14:val="tx1"/>
            </w14:solidFill>
          </w14:textFill>
        </w:rPr>
        <w:t>评价。</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根据本导则开展试验以前，应尽可能获得</w:t>
      </w:r>
      <w:bookmarkStart w:id="35" w:name="OLE_LINK2"/>
      <w:r>
        <w:rPr>
          <w:rFonts w:hint="default" w:ascii="Times New Roman" w:hAnsi="Times New Roman" w:eastAsia="仿宋" w:cs="Times New Roman"/>
          <w:color w:val="000000" w:themeColor="text1"/>
          <w:sz w:val="32"/>
          <w:szCs w:val="32"/>
          <w:highlight w:val="none"/>
          <w14:textFill>
            <w14:solidFill>
              <w14:schemeClr w14:val="tx1"/>
            </w14:solidFill>
          </w14:textFill>
        </w:rPr>
        <w:t>关于受试物的所有信息，包括能够支持可豁免某些试验的已有研究数据，以尽可能地减少所使用动物的数量</w:t>
      </w:r>
      <w:bookmarkEnd w:id="35"/>
      <w:r>
        <w:rPr>
          <w:rFonts w:hint="default" w:ascii="Times New Roman" w:hAnsi="Times New Roman" w:eastAsia="仿宋" w:cs="Times New Roman"/>
          <w:color w:val="000000" w:themeColor="text1"/>
          <w:sz w:val="32"/>
          <w:szCs w:val="32"/>
          <w:highlight w:val="none"/>
          <w14:textFill>
            <w14:solidFill>
              <w14:schemeClr w14:val="tx1"/>
            </w14:solidFill>
          </w14:textFill>
        </w:rPr>
        <w:t>。受试物特性、化学结构和理化性质等，受试物相关体外及体内毒性试验结果，受试物作为化妆品原料预期的使用方法/部位/目的以及可能暴露于人体的情况等，受试物结构相关毒性信息以及定量-构效关系（（Quantitative）Structure-Activity Relationship，（Q）SAR）数据等，以上这些信息可能有助于选择适合的动物种属、品系、性别、暴露方式和染毒浓度。</w:t>
      </w:r>
    </w:p>
    <w:p>
      <w:pPr>
        <w:widowControl/>
        <w:spacing w:line="360" w:lineRule="auto"/>
        <w:ind w:firstLine="640" w:firstLineChars="200"/>
        <w:jc w:val="both"/>
        <w:outlineLvl w:val="9"/>
        <w:rPr>
          <w:rFonts w:hint="default" w:ascii="Times New Roman" w:hAnsi="Times New Roman" w:eastAsia="黑体" w:cs="Times New Roman"/>
          <w:b w:val="0"/>
          <w:bCs/>
          <w:color w:val="000000" w:themeColor="text1"/>
          <w:sz w:val="32"/>
          <w:szCs w:val="32"/>
          <w:highlight w:val="none"/>
          <w14:textFill>
            <w14:solidFill>
              <w14:schemeClr w14:val="tx1"/>
            </w14:solidFill>
          </w14:textFill>
        </w:rPr>
      </w:pPr>
      <w:bookmarkStart w:id="36" w:name="_Toc121730509"/>
      <w:r>
        <w:rPr>
          <w:rFonts w:hint="default" w:ascii="Times New Roman" w:hAnsi="Times New Roman" w:eastAsia="黑体" w:cs="Times New Roman"/>
          <w:b w:val="0"/>
          <w:bCs/>
          <w:color w:val="000000" w:themeColor="text1"/>
          <w:sz w:val="32"/>
          <w:szCs w:val="32"/>
          <w:highlight w:val="none"/>
          <w:lang w:val="en-US" w:eastAsia="zh-CN"/>
          <w14:textFill>
            <w14:solidFill>
              <w14:schemeClr w14:val="tx1"/>
            </w14:solidFill>
          </w14:textFill>
        </w:rPr>
        <w:t>三、</w:t>
      </w:r>
      <w:r>
        <w:rPr>
          <w:rFonts w:hint="default" w:ascii="Times New Roman" w:hAnsi="Times New Roman" w:eastAsia="黑体" w:cs="Times New Roman"/>
          <w:b w:val="0"/>
          <w:bCs/>
          <w:color w:val="000000" w:themeColor="text1"/>
          <w:sz w:val="32"/>
          <w:szCs w:val="32"/>
          <w:highlight w:val="none"/>
          <w14:textFill>
            <w14:solidFill>
              <w14:schemeClr w14:val="tx1"/>
            </w14:solidFill>
          </w14:textFill>
        </w:rPr>
        <w:t>基本内容</w:t>
      </w:r>
      <w:r>
        <w:rPr>
          <w:rFonts w:hint="eastAsia" w:eastAsia="黑体" w:cs="Times New Roman"/>
          <w:b w:val="0"/>
          <w:bCs/>
          <w:color w:val="000000" w:themeColor="text1"/>
          <w:sz w:val="32"/>
          <w:szCs w:val="32"/>
          <w:highlight w:val="none"/>
          <w:lang w:val="en-US" w:eastAsia="zh-CN"/>
          <w14:textFill>
            <w14:solidFill>
              <w14:schemeClr w14:val="tx1"/>
            </w14:solidFill>
          </w14:textFill>
        </w:rPr>
        <w:t>及评价要点</w:t>
      </w:r>
    </w:p>
    <w:p>
      <w:pPr>
        <w:numPr>
          <w:ilvl w:val="0"/>
          <w:numId w:val="0"/>
        </w:numPr>
        <w:spacing w:line="360" w:lineRule="auto"/>
        <w:ind w:firstLine="640" w:firstLineChars="200"/>
        <w:jc w:val="both"/>
        <w:outlineLvl w:val="0"/>
        <w:rPr>
          <w:rFonts w:hint="default" w:eastAsia="仿宋"/>
          <w:b/>
          <w:bCs/>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本试验采用分步试验法，获得受试物急性吸入毒性的结果信息，从而对其急性毒性进行</w:t>
      </w:r>
      <w:r>
        <w:rPr>
          <w:rFonts w:hint="eastAsia" w:eastAsia="仿宋" w:cs="Times New Roman"/>
          <w:color w:val="000000" w:themeColor="text1"/>
          <w:sz w:val="32"/>
          <w:szCs w:val="32"/>
          <w:highlight w:val="none"/>
          <w:lang w:eastAsia="zh-CN"/>
          <w14:textFill>
            <w14:solidFill>
              <w14:schemeClr w14:val="tx1"/>
            </w14:solidFill>
          </w14:textFill>
        </w:rPr>
        <w:t>分类</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具体</w:t>
      </w:r>
      <w:r>
        <w:rPr>
          <w:rFonts w:hint="default" w:ascii="Times New Roman" w:hAnsi="Times New Roman" w:eastAsia="仿宋" w:cs="Times New Roman"/>
          <w:color w:val="000000" w:themeColor="text1"/>
          <w:sz w:val="32"/>
          <w:szCs w:val="32"/>
          <w:highlight w:val="none"/>
          <w14:textFill>
            <w14:solidFill>
              <w14:schemeClr w14:val="tx1"/>
            </w14:solidFill>
          </w14:textFill>
        </w:rPr>
        <w:t>方法为：从4个固定浓度中的起始浓度开始进行试验，通过观察动物吸入暴露于受试物4小时的反应，统计每一步试验出现死亡或濒死状态的动物数量，根据上一步的结果逐步增加/降低染毒浓度，并以其中较低的浓度界限值判定受试物的急性毒性</w:t>
      </w:r>
      <w:r>
        <w:rPr>
          <w:rFonts w:hint="eastAsia" w:eastAsia="仿宋" w:cs="Times New Roman"/>
          <w:color w:val="000000" w:themeColor="text1"/>
          <w:sz w:val="32"/>
          <w:szCs w:val="32"/>
          <w:highlight w:val="none"/>
          <w:lang w:eastAsia="zh-CN"/>
          <w14:textFill>
            <w14:solidFill>
              <w14:schemeClr w14:val="tx1"/>
            </w14:solidFill>
          </w14:textFill>
        </w:rPr>
        <w:t>分类</w:t>
      </w:r>
      <w:r>
        <w:rPr>
          <w:rFonts w:hint="default" w:ascii="Times New Roman" w:hAnsi="Times New Roman" w:eastAsia="仿宋" w:cs="Times New Roman"/>
          <w:color w:val="000000" w:themeColor="text1"/>
          <w:sz w:val="32"/>
          <w:szCs w:val="32"/>
          <w:highlight w:val="none"/>
          <w14:textFill>
            <w14:solidFill>
              <w14:schemeClr w14:val="tx1"/>
            </w14:solidFill>
          </w14:textFill>
        </w:rPr>
        <w:t>。如出于特殊的试验目的，可选择其他的暴露时间。每一步固定浓度的染毒试验均应使用每性别3只动物。如有证据支持某种性别动物对受试物毒性反应更加敏感，可仅使用单一性别6只动物进行试验，并在报告中说明选择理由。上一步试验的结果决定了是否进行下一步试验：1）无需进行下一步试验，或2）使用每性别3只动物进行下一步试验，或3）使用单一敏感性别6只动物进行下一步试验；整个试验过程中，根据动物死亡和/或濒死状态，可能2步试验即可判断受试物的急性毒性。</w:t>
      </w:r>
      <w:bookmarkEnd w:id="36"/>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在开展</w:t>
      </w:r>
      <w:r>
        <w:rPr>
          <w:rFonts w:hint="default" w:eastAsia="仿宋" w:cs="Times New Roman"/>
          <w:color w:val="000000" w:themeColor="text1"/>
          <w:sz w:val="32"/>
          <w:szCs w:val="32"/>
          <w:highlight w:val="none"/>
          <w:lang w:val="en-US" w:eastAsia="zh-CN"/>
          <w14:textFill>
            <w14:solidFill>
              <w14:schemeClr w14:val="tx1"/>
            </w14:solidFill>
          </w14:textFill>
        </w:rPr>
        <w:t>本试验</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研究时，应</w:t>
      </w:r>
      <w:r>
        <w:rPr>
          <w:rFonts w:hint="default" w:eastAsia="仿宋" w:cs="Times New Roman"/>
          <w:color w:val="000000" w:themeColor="text1"/>
          <w:sz w:val="32"/>
          <w:szCs w:val="32"/>
          <w:highlight w:val="none"/>
          <w:lang w:val="en-US" w:eastAsia="zh-CN"/>
          <w14:textFill>
            <w14:solidFill>
              <w14:schemeClr w14:val="tx1"/>
            </w14:solidFill>
          </w14:textFill>
        </w:rPr>
        <w:t>关注以下要点并</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遵循</w:t>
      </w:r>
      <w:r>
        <w:rPr>
          <w:rFonts w:hint="default" w:eastAsia="仿宋" w:cs="Times New Roman"/>
          <w:color w:val="000000" w:themeColor="text1"/>
          <w:sz w:val="32"/>
          <w:szCs w:val="32"/>
          <w:highlight w:val="none"/>
          <w:lang w:val="en-US" w:eastAsia="zh-CN"/>
          <w14:textFill>
            <w14:solidFill>
              <w14:schemeClr w14:val="tx1"/>
            </w14:solidFill>
          </w14:textFill>
        </w:rPr>
        <w:t>相应试验设计</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原则</w:t>
      </w:r>
      <w:r>
        <w:rPr>
          <w:rFonts w:hint="default" w:eastAsia="仿宋" w:cs="Times New Roman"/>
          <w:color w:val="000000" w:themeColor="text1"/>
          <w:sz w:val="32"/>
          <w:szCs w:val="32"/>
          <w:highlight w:val="none"/>
          <w:lang w:val="en-US" w:eastAsia="zh-CN"/>
          <w14:textFill>
            <w14:solidFill>
              <w14:schemeClr w14:val="tx1"/>
            </w14:solidFill>
          </w14:textFill>
        </w:rPr>
        <w:t>和要求</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若需计算受试物急性吸入毒性的半数致死浓度（Median Lethal Concentration，LC50）值或进行染毒浓度</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毒性反应关系</w:t>
      </w:r>
      <w:r>
        <w:rPr>
          <w:rFonts w:hint="default" w:eastAsia="仿宋" w:cs="Times New Roman"/>
          <w:color w:val="000000" w:themeColor="text1"/>
          <w:sz w:val="32"/>
          <w:szCs w:val="32"/>
          <w:highlight w:val="none"/>
          <w:lang w:eastAsia="zh-CN"/>
          <w14:textFill>
            <w14:solidFill>
              <w14:schemeClr w14:val="tx1"/>
            </w14:solidFill>
          </w14:textFill>
        </w:rPr>
        <w:t>的</w:t>
      </w:r>
      <w:r>
        <w:rPr>
          <w:rFonts w:hint="default" w:eastAsia="仿宋" w:cs="Times New Roman"/>
          <w:color w:val="000000" w:themeColor="text1"/>
          <w:sz w:val="32"/>
          <w:szCs w:val="32"/>
          <w:highlight w:val="none"/>
          <w:lang w:val="en-US" w:eastAsia="zh-CN"/>
          <w14:textFill>
            <w14:solidFill>
              <w14:schemeClr w14:val="tx1"/>
            </w14:solidFill>
          </w14:textFill>
        </w:rPr>
        <w:t>评价研究</w:t>
      </w:r>
      <w:r>
        <w:rPr>
          <w:rFonts w:hint="default" w:ascii="Times New Roman" w:hAnsi="Times New Roman" w:eastAsia="仿宋" w:cs="Times New Roman"/>
          <w:color w:val="000000" w:themeColor="text1"/>
          <w:sz w:val="32"/>
          <w:szCs w:val="32"/>
          <w:highlight w:val="none"/>
          <w14:textFill>
            <w14:solidFill>
              <w14:schemeClr w14:val="tx1"/>
            </w14:solidFill>
          </w14:textFill>
        </w:rPr>
        <w:t>，可参考</w:t>
      </w:r>
      <w:r>
        <w:rPr>
          <w:rFonts w:hint="eastAsia" w:eastAsia="仿宋" w:cs="Times New Roman"/>
          <w:color w:val="000000" w:themeColor="text1"/>
          <w:sz w:val="32"/>
          <w:szCs w:val="32"/>
          <w:highlight w:val="none"/>
          <w:lang w:eastAsia="zh-CN"/>
          <w14:textFill>
            <w14:solidFill>
              <w14:schemeClr w14:val="tx1"/>
            </w14:solidFill>
          </w14:textFill>
        </w:rPr>
        <w:t>《OECD化学品测试指南第403号：急性吸入毒性》</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widowControl w:val="0"/>
        <w:adjustRightInd w:val="0"/>
        <w:snapToGrid w:val="0"/>
        <w:spacing w:line="360" w:lineRule="auto"/>
        <w:ind w:firstLine="643" w:firstLineChars="200"/>
        <w:jc w:val="left"/>
        <w:outlineLvl w:val="1"/>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pPr>
      <w:bookmarkStart w:id="37" w:name="_Toc121730510"/>
      <w:r>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t>（一）受试物制备和质量控制</w:t>
      </w:r>
      <w:bookmarkEnd w:id="37"/>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试验受试物可以是气体、蒸汽、气溶胶或它们的混合物，应根据化妆品原料的理化性质、实际工艺流程中的物理状态、拟用或已用于化妆品中的使用目的和浓度等制备受试物。如受试物具有吸湿性，</w:t>
      </w:r>
      <w:r>
        <w:rPr>
          <w:rFonts w:hint="eastAsia" w:eastAsia="仿宋" w:cs="Times New Roman"/>
          <w:color w:val="000000" w:themeColor="text1"/>
          <w:sz w:val="32"/>
          <w:szCs w:val="32"/>
          <w:highlight w:val="none"/>
          <w:lang w:val="en-US" w:eastAsia="zh-CN"/>
          <w14:textFill>
            <w14:solidFill>
              <w14:schemeClr w14:val="tx1"/>
            </w14:solidFill>
          </w14:textFill>
        </w:rPr>
        <w:t>试验过程中</w:t>
      </w:r>
      <w:r>
        <w:rPr>
          <w:rFonts w:hint="default" w:ascii="Times New Roman" w:hAnsi="Times New Roman" w:eastAsia="仿宋" w:cs="Times New Roman"/>
          <w:color w:val="000000" w:themeColor="text1"/>
          <w:sz w:val="32"/>
          <w:szCs w:val="32"/>
          <w:highlight w:val="none"/>
          <w14:textFill>
            <w14:solidFill>
              <w14:schemeClr w14:val="tx1"/>
            </w14:solidFill>
          </w14:textFill>
        </w:rPr>
        <w:t>需保证气体干燥；如受试物可能发生化学反应，需注意避免在可能发生爆炸的浓度下进行试验。</w:t>
      </w:r>
      <w:r>
        <w:rPr>
          <w:rFonts w:hint="default" w:ascii="Times New Roman" w:hAnsi="Times New Roman" w:eastAsia="仿宋" w:cs="Times New Roman"/>
          <w:color w:val="000000" w:themeColor="text1"/>
          <w:kern w:val="2"/>
          <w:sz w:val="32"/>
          <w:szCs w:val="32"/>
          <w:highlight w:val="none"/>
          <w:lang w:val="en-US" w:eastAsia="zh-CN" w:bidi="ar"/>
          <w14:textFill>
            <w14:solidFill>
              <w14:schemeClr w14:val="tx1"/>
            </w14:solidFill>
          </w14:textFill>
        </w:rPr>
        <w:t>受试物经超声雾化时会产热，应注意选择合理的发生装置。</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试验中</w:t>
      </w:r>
      <w:r>
        <w:rPr>
          <w:rFonts w:hint="default" w:ascii="Times New Roman" w:hAnsi="Times New Roman" w:eastAsia="仿宋" w:cs="Times New Roman"/>
          <w:color w:val="000000" w:themeColor="text1"/>
          <w:sz w:val="32"/>
          <w:szCs w:val="32"/>
          <w:highlight w:val="none"/>
          <w14:textFill>
            <w14:solidFill>
              <w14:schemeClr w14:val="tx1"/>
            </w14:solidFill>
          </w14:textFill>
        </w:rPr>
        <w:t>为使整个呼吸道</w:t>
      </w:r>
      <w:r>
        <w:rPr>
          <w:rFonts w:hint="eastAsia" w:eastAsia="仿宋" w:cs="Times New Roman"/>
          <w:color w:val="000000" w:themeColor="text1"/>
          <w:sz w:val="32"/>
          <w:szCs w:val="32"/>
          <w:highlight w:val="none"/>
          <w:lang w:val="en-US" w:eastAsia="zh-CN"/>
          <w14:textFill>
            <w14:solidFill>
              <w14:schemeClr w14:val="tx1"/>
            </w14:solidFill>
          </w14:textFill>
        </w:rPr>
        <w:t>能</w:t>
      </w:r>
      <w:r>
        <w:rPr>
          <w:rFonts w:hint="default" w:ascii="Times New Roman" w:hAnsi="Times New Roman" w:eastAsia="仿宋" w:cs="Times New Roman"/>
          <w:color w:val="000000" w:themeColor="text1"/>
          <w:sz w:val="32"/>
          <w:szCs w:val="32"/>
          <w:highlight w:val="none"/>
          <w14:textFill>
            <w14:solidFill>
              <w14:schemeClr w14:val="tx1"/>
            </w14:solidFill>
          </w14:textFill>
        </w:rPr>
        <w:t>充分暴露于受试物，推荐采用质量中值空气动力学直径（Mass Median Aerodynamic Diameters，MMAD）为1 μm</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4 μm（几何标准差：1.5</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3.0）的气溶胶颗粒进行试验。若受试物无法达到上述标准，需由专家</w:t>
      </w:r>
      <w:r>
        <w:rPr>
          <w:rFonts w:hint="eastAsia" w:eastAsia="仿宋" w:cs="Times New Roman"/>
          <w:color w:val="000000" w:themeColor="text1"/>
          <w:sz w:val="32"/>
          <w:szCs w:val="32"/>
          <w:highlight w:val="none"/>
          <w:lang w:eastAsia="zh-CN"/>
          <w14:textFill>
            <w14:solidFill>
              <w14:schemeClr w14:val="tx1"/>
            </w14:solidFill>
          </w14:textFill>
        </w:rPr>
        <w:t>作出</w:t>
      </w:r>
      <w:r>
        <w:rPr>
          <w:rFonts w:hint="default" w:ascii="Times New Roman" w:hAnsi="Times New Roman" w:eastAsia="仿宋" w:cs="Times New Roman"/>
          <w:color w:val="000000" w:themeColor="text1"/>
          <w:sz w:val="32"/>
          <w:szCs w:val="32"/>
          <w:highlight w:val="none"/>
          <w14:textFill>
            <w14:solidFill>
              <w14:schemeClr w14:val="tx1"/>
            </w14:solidFill>
          </w14:textFill>
        </w:rPr>
        <w:t>评判，并说明实际暴露时的粒径及其原因，例如吸湿性受试物在呼吸道内潮湿环境下粒径增加。磨损试验可证明原料是否</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会</w:t>
      </w:r>
      <w:r>
        <w:rPr>
          <w:rFonts w:hint="default" w:ascii="Times New Roman" w:hAnsi="Times New Roman" w:eastAsia="仿宋" w:cs="Times New Roman"/>
          <w:color w:val="000000" w:themeColor="text1"/>
          <w:sz w:val="32"/>
          <w:szCs w:val="32"/>
          <w:highlight w:val="none"/>
          <w14:textFill>
            <w14:solidFill>
              <w14:schemeClr w14:val="tx1"/>
            </w14:solidFill>
          </w14:textFill>
        </w:rPr>
        <w:t>产生</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吸入性颗粒物，如</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试验结果证明可能产生吸入性颗粒物，则需要进行吸入毒性试验。</w:t>
      </w:r>
      <w:r>
        <w:rPr>
          <w:rFonts w:hint="default" w:ascii="Times New Roman" w:hAnsi="Times New Roman" w:eastAsia="仿宋" w:cs="Times New Roman"/>
          <w:color w:val="000000" w:themeColor="text1"/>
          <w:sz w:val="32"/>
          <w:szCs w:val="32"/>
          <w:highlight w:val="none"/>
          <w14:textFill>
            <w14:solidFill>
              <w14:schemeClr w14:val="tx1"/>
            </w14:solidFill>
          </w14:textFill>
        </w:rPr>
        <w:t>为了制备符合要求的受试物，首选水作为制备的</w:t>
      </w:r>
      <w:r>
        <w:rPr>
          <w:rFonts w:hint="eastAsia" w:eastAsia="仿宋" w:cs="Times New Roman"/>
          <w:color w:val="000000" w:themeColor="text1"/>
          <w:sz w:val="32"/>
          <w:szCs w:val="32"/>
          <w:highlight w:val="none"/>
          <w:lang w:eastAsia="zh-CN"/>
          <w14:textFill>
            <w14:solidFill>
              <w14:schemeClr w14:val="tx1"/>
            </w14:solidFill>
          </w14:textFill>
        </w:rPr>
        <w:t>溶媒载体</w:t>
      </w:r>
      <w:r>
        <w:rPr>
          <w:rFonts w:hint="default" w:ascii="Times New Roman" w:hAnsi="Times New Roman" w:eastAsia="仿宋" w:cs="Times New Roman"/>
          <w:color w:val="000000" w:themeColor="text1"/>
          <w:sz w:val="32"/>
          <w:szCs w:val="32"/>
          <w:highlight w:val="none"/>
          <w14:textFill>
            <w14:solidFill>
              <w14:schemeClr w14:val="tx1"/>
            </w14:solidFill>
          </w14:textFill>
        </w:rPr>
        <w:t>溶剂。对受试物颗粒进行机械加工时，需注意是否可能引起物质分解和变性，例如过度</w:t>
      </w:r>
      <w:r>
        <w:rPr>
          <w:rFonts w:hint="eastAsia" w:eastAsia="仿宋" w:cs="Times New Roman"/>
          <w:color w:val="000000" w:themeColor="text1"/>
          <w:sz w:val="32"/>
          <w:szCs w:val="32"/>
          <w:highlight w:val="none"/>
          <w:lang w:val="en-US" w:eastAsia="zh-CN"/>
          <w14:textFill>
            <w14:solidFill>
              <w14:schemeClr w14:val="tx1"/>
            </w14:solidFill>
          </w14:textFill>
        </w:rPr>
        <w:t>研磨、</w:t>
      </w:r>
      <w:r>
        <w:rPr>
          <w:rFonts w:hint="default" w:ascii="Times New Roman" w:hAnsi="Times New Roman" w:eastAsia="仿宋" w:cs="Times New Roman"/>
          <w:color w:val="000000" w:themeColor="text1"/>
          <w:sz w:val="32"/>
          <w:szCs w:val="32"/>
          <w:highlight w:val="none"/>
          <w14:textFill>
            <w14:solidFill>
              <w14:schemeClr w14:val="tx1"/>
            </w14:solidFill>
          </w14:textFill>
        </w:rPr>
        <w:t>摩擦产生高温等</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因此试验前应检测</w:t>
      </w:r>
      <w:r>
        <w:rPr>
          <w:rFonts w:hint="eastAsia" w:eastAsia="仿宋" w:cs="Times New Roman"/>
          <w:color w:val="000000" w:themeColor="text1"/>
          <w:sz w:val="32"/>
          <w:szCs w:val="32"/>
          <w:highlight w:val="none"/>
          <w:lang w:val="en-US" w:eastAsia="zh-CN"/>
          <w14:textFill>
            <w14:solidFill>
              <w14:schemeClr w14:val="tx1"/>
            </w14:solidFill>
          </w14:textFill>
        </w:rPr>
        <w:t>分析</w:t>
      </w:r>
      <w:r>
        <w:rPr>
          <w:rFonts w:hint="default" w:ascii="Times New Roman" w:hAnsi="Times New Roman" w:eastAsia="仿宋" w:cs="Times New Roman"/>
          <w:color w:val="000000" w:themeColor="text1"/>
          <w:sz w:val="32"/>
          <w:szCs w:val="32"/>
          <w:highlight w:val="none"/>
          <w14:textFill>
            <w14:solidFill>
              <w14:schemeClr w14:val="tx1"/>
            </w14:solidFill>
          </w14:textFill>
        </w:rPr>
        <w:t>受试物颗粒粒径</w:t>
      </w:r>
      <w:r>
        <w:rPr>
          <w:rFonts w:hint="eastAsia" w:eastAsia="仿宋" w:cs="Times New Roman"/>
          <w:color w:val="000000" w:themeColor="text1"/>
          <w:sz w:val="32"/>
          <w:szCs w:val="32"/>
          <w:highlight w:val="none"/>
          <w:lang w:val="en-US" w:eastAsia="zh-CN"/>
          <w14:textFill>
            <w14:solidFill>
              <w14:schemeClr w14:val="tx1"/>
            </w14:solidFill>
          </w14:textFill>
        </w:rPr>
        <w:t>和确认</w:t>
      </w:r>
      <w:r>
        <w:rPr>
          <w:rFonts w:hint="default" w:ascii="Times New Roman" w:hAnsi="Times New Roman" w:eastAsia="仿宋" w:cs="Times New Roman"/>
          <w:color w:val="000000" w:themeColor="text1"/>
          <w:sz w:val="32"/>
          <w:szCs w:val="32"/>
          <w:highlight w:val="none"/>
          <w14:textFill>
            <w14:solidFill>
              <w14:schemeClr w14:val="tx1"/>
            </w14:solidFill>
          </w14:textFill>
        </w:rPr>
        <w:t>实际组成成分。</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实施试验过程中，应计算受试物靶浓度（</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或称</w:t>
      </w:r>
      <w:r>
        <w:rPr>
          <w:rFonts w:hint="default" w:ascii="Times New Roman" w:hAnsi="Times New Roman" w:eastAsia="仿宋" w:cs="Times New Roman"/>
          <w:color w:val="000000" w:themeColor="text1"/>
          <w:sz w:val="32"/>
          <w:szCs w:val="32"/>
          <w:highlight w:val="none"/>
          <w14:textFill>
            <w14:solidFill>
              <w14:schemeClr w14:val="tx1"/>
            </w14:solidFill>
          </w14:textFill>
        </w:rPr>
        <w:t>目标浓度）、</w:t>
      </w:r>
      <w:r>
        <w:rPr>
          <w:rFonts w:hint="eastAsia" w:eastAsia="仿宋" w:cs="Times New Roman"/>
          <w:color w:val="000000" w:themeColor="text1"/>
          <w:sz w:val="32"/>
          <w:szCs w:val="32"/>
          <w:highlight w:val="none"/>
          <w:lang w:val="en-US" w:eastAsia="zh-CN"/>
          <w14:textFill>
            <w14:solidFill>
              <w14:schemeClr w14:val="tx1"/>
            </w14:solidFill>
          </w14:textFill>
        </w:rPr>
        <w:t>计算浓度</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（或称</w:t>
      </w:r>
      <w:r>
        <w:rPr>
          <w:rFonts w:hint="eastAsia" w:eastAsia="仿宋" w:cs="Times New Roman"/>
          <w:color w:val="000000" w:themeColor="text1"/>
          <w:sz w:val="32"/>
          <w:szCs w:val="32"/>
          <w:highlight w:val="none"/>
          <w:lang w:val="en-US" w:eastAsia="zh-CN"/>
          <w14:textFill>
            <w14:solidFill>
              <w14:schemeClr w14:val="tx1"/>
            </w14:solidFill>
          </w14:textFill>
        </w:rPr>
        <w:t>理论</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浓度、</w:t>
      </w:r>
      <w:r>
        <w:rPr>
          <w:rFonts w:hint="default" w:ascii="Times New Roman" w:hAnsi="Times New Roman" w:eastAsia="仿宋" w:cs="Times New Roman"/>
          <w:color w:val="000000" w:themeColor="text1"/>
          <w:sz w:val="32"/>
          <w:szCs w:val="32"/>
          <w:highlight w:val="none"/>
          <w14:textFill>
            <w14:solidFill>
              <w14:schemeClr w14:val="tx1"/>
            </w14:solidFill>
          </w14:textFill>
        </w:rPr>
        <w:t>标示浓度</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和实际浓度，但只有实际浓度可用来计算最终的半数致死浓度值</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如需要</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计算浓度</w:t>
      </w:r>
      <w:r>
        <w:rPr>
          <w:rFonts w:hint="default" w:ascii="Times New Roman" w:hAnsi="Times New Roman" w:eastAsia="仿宋" w:cs="Times New Roman"/>
          <w:color w:val="000000" w:themeColor="text1"/>
          <w:sz w:val="32"/>
          <w:szCs w:val="32"/>
          <w:highlight w:val="none"/>
          <w14:textFill>
            <w14:solidFill>
              <w14:schemeClr w14:val="tx1"/>
            </w14:solidFill>
          </w14:textFill>
        </w:rPr>
        <w:t>是制备的受试物量除以通过染毒装置的气体总体积得到的参数；实际浓度是染毒装置中动物呼吸区域的受试物浓度。比较</w:t>
      </w:r>
      <w:r>
        <w:rPr>
          <w:rFonts w:hint="eastAsia" w:eastAsia="仿宋" w:cs="Times New Roman"/>
          <w:color w:val="000000" w:themeColor="text1"/>
          <w:sz w:val="32"/>
          <w:szCs w:val="32"/>
          <w:highlight w:val="none"/>
          <w:lang w:eastAsia="zh-CN"/>
          <w14:textFill>
            <w14:solidFill>
              <w14:schemeClr w14:val="tx1"/>
            </w14:solidFill>
          </w14:textFill>
        </w:rPr>
        <w:t>计算浓度</w:t>
      </w:r>
      <w:r>
        <w:rPr>
          <w:rFonts w:hint="default" w:ascii="Times New Roman" w:hAnsi="Times New Roman" w:eastAsia="仿宋" w:cs="Times New Roman"/>
          <w:color w:val="000000" w:themeColor="text1"/>
          <w:sz w:val="32"/>
          <w:szCs w:val="32"/>
          <w:highlight w:val="none"/>
          <w14:textFill>
            <w14:solidFill>
              <w14:schemeClr w14:val="tx1"/>
            </w14:solidFill>
          </w14:textFill>
        </w:rPr>
        <w:t>和实际浓度可得到试验系统的制备效率，以发现制备染毒气体过程中存在的问题。实际浓度可通过特异性方法（如直接采样法、吸附或化学反应法，然后进行分析表征），或非特异性方法（如滤膜增重法）测量。对于单一成分的粉末</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或</w:t>
      </w:r>
      <w:r>
        <w:rPr>
          <w:rFonts w:hint="default" w:ascii="Times New Roman" w:hAnsi="Times New Roman" w:eastAsia="仿宋" w:cs="Times New Roman"/>
          <w:color w:val="000000" w:themeColor="text1"/>
          <w:sz w:val="32"/>
          <w:szCs w:val="32"/>
          <w:highlight w:val="none"/>
          <w14:textFill>
            <w14:solidFill>
              <w14:schemeClr w14:val="tx1"/>
            </w14:solidFill>
          </w14:textFill>
        </w:rPr>
        <w:t>低挥发性液体的气溶胶和多成分的粉末气溶胶才能使用增重法，且使用增重法的前提条件是需要通过资料或在试验期间按照规定时间间隔分析所制备气体（或</w:t>
      </w:r>
      <w:r>
        <w:rPr>
          <w:rFonts w:hint="eastAsia" w:eastAsia="仿宋" w:cs="Times New Roman"/>
          <w:color w:val="000000" w:themeColor="text1"/>
          <w:sz w:val="32"/>
          <w:szCs w:val="32"/>
          <w:highlight w:val="none"/>
          <w:lang w:eastAsia="zh-CN"/>
          <w14:textFill>
            <w14:solidFill>
              <w14:schemeClr w14:val="tx1"/>
            </w14:solidFill>
          </w14:textFill>
        </w:rPr>
        <w:t>染毒装置</w:t>
      </w:r>
      <w:r>
        <w:rPr>
          <w:rFonts w:hint="default" w:ascii="Times New Roman" w:hAnsi="Times New Roman" w:eastAsia="仿宋" w:cs="Times New Roman"/>
          <w:color w:val="000000" w:themeColor="text1"/>
          <w:sz w:val="32"/>
          <w:szCs w:val="32"/>
          <w:highlight w:val="none"/>
          <w14:textFill>
            <w14:solidFill>
              <w14:schemeClr w14:val="tx1"/>
            </w14:solidFill>
          </w14:textFill>
        </w:rPr>
        <w:t>内气体），证明气体中成分与最初的受试物成分相近。对可</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挥发</w:t>
      </w:r>
      <w:r>
        <w:rPr>
          <w:rFonts w:hint="default" w:ascii="Times New Roman" w:hAnsi="Times New Roman" w:eastAsia="仿宋" w:cs="Times New Roman"/>
          <w:color w:val="000000" w:themeColor="text1"/>
          <w:sz w:val="32"/>
          <w:szCs w:val="32"/>
          <w:highlight w:val="none"/>
          <w14:textFill>
            <w14:solidFill>
              <w14:schemeClr w14:val="tx1"/>
            </w14:solidFill>
          </w14:textFill>
        </w:rPr>
        <w:t>或易升华的气溶胶，需证实所采用方法可收集到所有物相的受试物。</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整个试验过程中的</w:t>
      </w:r>
      <w:r>
        <w:rPr>
          <w:rFonts w:hint="default" w:ascii="Times New Roman" w:hAnsi="Times New Roman" w:eastAsia="仿宋" w:cs="Times New Roman"/>
          <w:color w:val="000000" w:themeColor="text1"/>
          <w:sz w:val="32"/>
          <w:szCs w:val="32"/>
          <w:highlight w:val="none"/>
          <w14:textFill>
            <w14:solidFill>
              <w14:schemeClr w14:val="tx1"/>
            </w14:solidFill>
          </w14:textFill>
        </w:rPr>
        <w:t>每一步试验应使用同一批</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次</w:t>
      </w:r>
      <w:r>
        <w:rPr>
          <w:rFonts w:hint="default" w:ascii="Times New Roman" w:hAnsi="Times New Roman" w:eastAsia="仿宋" w:cs="Times New Roman"/>
          <w:color w:val="000000" w:themeColor="text1"/>
          <w:sz w:val="32"/>
          <w:szCs w:val="32"/>
          <w:highlight w:val="none"/>
          <w14:textFill>
            <w14:solidFill>
              <w14:schemeClr w14:val="tx1"/>
            </w14:solidFill>
          </w14:textFill>
        </w:rPr>
        <w:t>受试物，</w:t>
      </w:r>
      <w:r>
        <w:rPr>
          <w:rFonts w:hint="eastAsia" w:eastAsia="仿宋" w:cs="Times New Roman"/>
          <w:color w:val="000000" w:themeColor="text1"/>
          <w:sz w:val="32"/>
          <w:szCs w:val="32"/>
          <w:highlight w:val="none"/>
          <w:lang w:val="en-US" w:eastAsia="zh-CN"/>
          <w14:textFill>
            <w14:solidFill>
              <w14:schemeClr w14:val="tx1"/>
            </w14:solidFill>
          </w14:textFill>
        </w:rPr>
        <w:t>技术上可行时，</w:t>
      </w:r>
      <w:r>
        <w:rPr>
          <w:rFonts w:hint="default" w:ascii="Times New Roman" w:hAnsi="Times New Roman" w:eastAsia="仿宋" w:cs="Times New Roman"/>
          <w:color w:val="000000" w:themeColor="text1"/>
          <w:sz w:val="32"/>
          <w:szCs w:val="32"/>
          <w:highlight w:val="none"/>
          <w14:textFill>
            <w14:solidFill>
              <w14:schemeClr w14:val="tx1"/>
            </w14:solidFill>
          </w14:textFill>
        </w:rPr>
        <w:t>受试物保存条件应尽可能</w:t>
      </w:r>
      <w:r>
        <w:rPr>
          <w:rFonts w:hint="eastAsia" w:eastAsia="仿宋" w:cs="Times New Roman"/>
          <w:color w:val="000000" w:themeColor="text1"/>
          <w:sz w:val="32"/>
          <w:szCs w:val="32"/>
          <w:highlight w:val="none"/>
          <w:lang w:val="en-US" w:eastAsia="zh-CN"/>
          <w14:textFill>
            <w14:solidFill>
              <w14:schemeClr w14:val="tx1"/>
            </w14:solidFill>
          </w14:textFill>
        </w:rPr>
        <w:t>满足</w:t>
      </w:r>
      <w:r>
        <w:rPr>
          <w:rFonts w:hint="default" w:ascii="Times New Roman" w:hAnsi="Times New Roman" w:eastAsia="仿宋" w:cs="Times New Roman"/>
          <w:color w:val="000000" w:themeColor="text1"/>
          <w:sz w:val="32"/>
          <w:szCs w:val="32"/>
          <w:highlight w:val="none"/>
          <w14:textFill>
            <w14:solidFill>
              <w14:schemeClr w14:val="tx1"/>
            </w14:solidFill>
          </w14:textFill>
        </w:rPr>
        <w:t>不影响其纯度、均匀性和稳定性。开始试验前应记录受试物特性（如纯度、技术可能情况下的物质鉴别、</w:t>
      </w:r>
      <w:bookmarkStart w:id="38" w:name="OLE_LINK5"/>
      <w:r>
        <w:rPr>
          <w:rFonts w:hint="default" w:ascii="Times New Roman" w:hAnsi="Times New Roman" w:eastAsia="仿宋" w:cs="Times New Roman"/>
          <w:color w:val="000000" w:themeColor="text1"/>
          <w:sz w:val="32"/>
          <w:szCs w:val="32"/>
          <w:highlight w:val="none"/>
          <w14:textFill>
            <w14:solidFill>
              <w14:schemeClr w14:val="tx1"/>
            </w14:solidFill>
          </w14:textFill>
        </w:rPr>
        <w:t>可鉴别的污染物和杂质含量</w:t>
      </w:r>
      <w:bookmarkEnd w:id="38"/>
      <w:r>
        <w:rPr>
          <w:rFonts w:hint="default" w:ascii="Times New Roman" w:hAnsi="Times New Roman" w:eastAsia="仿宋" w:cs="Times New Roman"/>
          <w:color w:val="000000" w:themeColor="text1"/>
          <w:sz w:val="32"/>
          <w:szCs w:val="32"/>
          <w:highlight w:val="none"/>
          <w14:textFill>
            <w14:solidFill>
              <w14:schemeClr w14:val="tx1"/>
            </w14:solidFill>
          </w14:textFill>
        </w:rPr>
        <w:t>），并可通过以下参数来证明：如保留时间、相对峰面积</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，以及</w:t>
      </w:r>
      <w:r>
        <w:rPr>
          <w:rFonts w:hint="default" w:ascii="Times New Roman" w:hAnsi="Times New Roman" w:eastAsia="仿宋" w:cs="Times New Roman"/>
          <w:color w:val="000000" w:themeColor="text1"/>
          <w:sz w:val="32"/>
          <w:szCs w:val="32"/>
          <w:highlight w:val="none"/>
          <w14:textFill>
            <w14:solidFill>
              <w14:schemeClr w14:val="tx1"/>
            </w14:solidFill>
          </w14:textFill>
        </w:rPr>
        <w:t>通过质谱或气相色谱等分析方法测得的分子量。检测机构可通过原料供应商获取以上受试物信息，但至少还需对接收的受试物性状进行一定</w:t>
      </w:r>
      <w:r>
        <w:rPr>
          <w:rFonts w:hint="eastAsia" w:eastAsia="仿宋" w:cs="Times New Roman"/>
          <w:color w:val="000000" w:themeColor="text1"/>
          <w:sz w:val="32"/>
          <w:szCs w:val="32"/>
          <w:highlight w:val="none"/>
          <w:lang w:val="en-US" w:eastAsia="zh-CN"/>
          <w14:textFill>
            <w14:solidFill>
              <w14:schemeClr w14:val="tx1"/>
            </w14:solidFill>
          </w14:textFill>
        </w:rPr>
        <w:t>程度</w:t>
      </w:r>
      <w:r>
        <w:rPr>
          <w:rFonts w:hint="default" w:ascii="Times New Roman" w:hAnsi="Times New Roman" w:eastAsia="仿宋" w:cs="Times New Roman"/>
          <w:color w:val="000000" w:themeColor="text1"/>
          <w:sz w:val="32"/>
          <w:szCs w:val="32"/>
          <w:highlight w:val="none"/>
          <w14:textFill>
            <w14:solidFill>
              <w14:schemeClr w14:val="tx1"/>
            </w14:solidFill>
          </w14:textFill>
        </w:rPr>
        <w:t>的描述（如颜色、物理状态等）。</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应尽可能保持染毒气体持续不断，并根据分析方法采取连续或间隔采样监测。当采用间隔采样，染毒4小时内至少采样2次。如果因系统内染毒气体气流量或浓度过低所限，整个暴露周期内可采样一次</w:t>
      </w:r>
      <w:r>
        <w:rPr>
          <w:rFonts w:hint="eastAsia" w:eastAsia="仿宋" w:cs="Times New Roman"/>
          <w:color w:val="000000" w:themeColor="text1"/>
          <w:sz w:val="32"/>
          <w:szCs w:val="32"/>
          <w:highlight w:val="none"/>
          <w:lang w:val="en-US" w:eastAsia="zh-CN"/>
          <w14:textFill>
            <w14:solidFill>
              <w14:schemeClr w14:val="tx1"/>
            </w14:solidFill>
          </w14:textFill>
        </w:rPr>
        <w:t>样本</w:t>
      </w:r>
      <w:r>
        <w:rPr>
          <w:rFonts w:hint="default" w:ascii="Times New Roman" w:hAnsi="Times New Roman" w:eastAsia="仿宋" w:cs="Times New Roman"/>
          <w:color w:val="000000" w:themeColor="text1"/>
          <w:sz w:val="32"/>
          <w:szCs w:val="32"/>
          <w:highlight w:val="none"/>
          <w14:textFill>
            <w14:solidFill>
              <w14:schemeClr w14:val="tx1"/>
            </w14:solidFill>
          </w14:textFill>
        </w:rPr>
        <w:t>。如所采集样本间出现明显波动，进行下一个染毒浓度试验时需要在暴露周期内采样4次。每个染毒浓度试验期间各样本间的浓度波动范围应符合以下标准：气体和挥发性受试物的平均浓度波动不得超过±10%，液体或固体气溶胶的平均浓度波动不</w:t>
      </w:r>
      <w:r>
        <w:rPr>
          <w:rFonts w:hint="eastAsia" w:eastAsia="仿宋" w:cs="Times New Roman"/>
          <w:color w:val="000000" w:themeColor="text1"/>
          <w:sz w:val="32"/>
          <w:szCs w:val="32"/>
          <w:highlight w:val="none"/>
          <w:lang w:val="en-US" w:eastAsia="zh-CN"/>
          <w14:textFill>
            <w14:solidFill>
              <w14:schemeClr w14:val="tx1"/>
            </w14:solidFill>
          </w14:textFill>
        </w:rPr>
        <w:t>得</w:t>
      </w:r>
      <w:r>
        <w:rPr>
          <w:rFonts w:hint="default" w:ascii="Times New Roman" w:hAnsi="Times New Roman" w:eastAsia="仿宋" w:cs="Times New Roman"/>
          <w:color w:val="000000" w:themeColor="text1"/>
          <w:sz w:val="32"/>
          <w:szCs w:val="32"/>
          <w:highlight w:val="none"/>
          <w14:textFill>
            <w14:solidFill>
              <w14:schemeClr w14:val="tx1"/>
            </w14:solidFill>
          </w14:textFill>
        </w:rPr>
        <w:t>超过±20%。整个染毒周期包括受试物气体制备时间和装置内受试物气体达到平衡时间（T</w:t>
      </w:r>
      <w:r>
        <w:rPr>
          <w:rFonts w:hint="default" w:ascii="Times New Roman" w:hAnsi="Times New Roman" w:eastAsia="仿宋" w:cs="Times New Roman"/>
          <w:color w:val="000000" w:themeColor="text1"/>
          <w:sz w:val="32"/>
          <w:szCs w:val="32"/>
          <w:highlight w:val="none"/>
          <w:vertAlign w:val="subscript"/>
          <w14:textFill>
            <w14:solidFill>
              <w14:schemeClr w14:val="tx1"/>
            </w14:solidFill>
          </w14:textFill>
        </w:rPr>
        <w:t>95</w:t>
      </w:r>
      <w:r>
        <w:rPr>
          <w:rFonts w:hint="default" w:ascii="Times New Roman" w:hAnsi="Times New Roman" w:eastAsia="仿宋" w:cs="Times New Roman"/>
          <w:color w:val="000000" w:themeColor="text1"/>
          <w:sz w:val="32"/>
          <w:szCs w:val="32"/>
          <w:highlight w:val="none"/>
          <w14:textFill>
            <w14:solidFill>
              <w14:schemeClr w14:val="tx1"/>
            </w14:solidFill>
          </w14:textFill>
        </w:rPr>
        <w:t>）。应计算并记录T</w:t>
      </w:r>
      <w:r>
        <w:rPr>
          <w:rFonts w:hint="default" w:ascii="Times New Roman" w:hAnsi="Times New Roman" w:eastAsia="仿宋" w:cs="Times New Roman"/>
          <w:color w:val="000000" w:themeColor="text1"/>
          <w:sz w:val="32"/>
          <w:szCs w:val="32"/>
          <w:highlight w:val="none"/>
          <w:vertAlign w:val="subscript"/>
          <w14:textFill>
            <w14:solidFill>
              <w14:schemeClr w14:val="tx1"/>
            </w14:solidFill>
          </w14:textFill>
        </w:rPr>
        <w:t>95</w:t>
      </w:r>
      <w:r>
        <w:rPr>
          <w:rFonts w:hint="default" w:ascii="Times New Roman" w:hAnsi="Times New Roman" w:eastAsia="仿宋" w:cs="Times New Roman"/>
          <w:color w:val="000000" w:themeColor="text1"/>
          <w:sz w:val="32"/>
          <w:szCs w:val="32"/>
          <w:highlight w:val="none"/>
          <w14:textFill>
            <w14:solidFill>
              <w14:schemeClr w14:val="tx1"/>
            </w14:solidFill>
          </w14:textFill>
        </w:rPr>
        <w:t>。对于成分极为复杂的蒸汽/气体和气溶胶混合物在染毒装置中的每一物相成分各不相同，因此在每一物相（蒸汽/气体和气溶胶）中至少选择一种标志性物质（通常为受试物组分中的主要活性物质）进行分析。当受试物为混合物（如</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复配原料</w:t>
      </w:r>
      <w:r>
        <w:rPr>
          <w:rFonts w:hint="default" w:ascii="Times New Roman" w:hAnsi="Times New Roman" w:eastAsia="仿宋" w:cs="Times New Roman"/>
          <w:color w:val="000000" w:themeColor="text1"/>
          <w:sz w:val="32"/>
          <w:szCs w:val="32"/>
          <w:highlight w:val="none"/>
          <w14:textFill>
            <w14:solidFill>
              <w14:schemeClr w14:val="tx1"/>
            </w14:solidFill>
          </w14:textFill>
        </w:rPr>
        <w:t>）时，分析报告中的浓度应为全部配方的总浓度，而非活性成分或某种成分的浓度。</w:t>
      </w:r>
    </w:p>
    <w:p>
      <w:pPr>
        <w:spacing w:line="360" w:lineRule="auto"/>
        <w:ind w:firstLine="640" w:firstLineChars="200"/>
        <w:jc w:val="both"/>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气溶胶粒径的测定需在染毒4小时内至少采样2次，可采用级联撞击采样器或其他设备如</w:t>
      </w:r>
      <w:r>
        <w:rPr>
          <w:rFonts w:hint="eastAsia" w:eastAsia="仿宋" w:cs="Times New Roman"/>
          <w:color w:val="000000" w:themeColor="text1"/>
          <w:sz w:val="32"/>
          <w:szCs w:val="32"/>
          <w:highlight w:val="none"/>
          <w:lang w:eastAsia="zh-CN"/>
          <w14:textFill>
            <w14:solidFill>
              <w14:schemeClr w14:val="tx1"/>
            </w14:solidFill>
          </w14:textFill>
        </w:rPr>
        <w:t>空气动力学</w:t>
      </w:r>
      <w:r>
        <w:rPr>
          <w:rFonts w:hint="default" w:ascii="Times New Roman" w:hAnsi="Times New Roman" w:eastAsia="仿宋" w:cs="Times New Roman"/>
          <w:color w:val="000000" w:themeColor="text1"/>
          <w:sz w:val="32"/>
          <w:szCs w:val="32"/>
          <w:highlight w:val="none"/>
          <w14:textFill>
            <w14:solidFill>
              <w14:schemeClr w14:val="tx1"/>
            </w14:solidFill>
          </w14:textFill>
        </w:rPr>
        <w:t>粒径仪等，若使用后者，需验证其测定结果与前者测定结果相同。同时应采用第二种方法（如滤膜增重或撞击采样器/</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气溶胶雾化器</w:t>
      </w:r>
      <w:r>
        <w:rPr>
          <w:rFonts w:hint="default" w:ascii="Times New Roman" w:hAnsi="Times New Roman" w:eastAsia="仿宋" w:cs="Times New Roman"/>
          <w:color w:val="000000" w:themeColor="text1"/>
          <w:sz w:val="32"/>
          <w:szCs w:val="32"/>
          <w:highlight w:val="none"/>
          <w14:textFill>
            <w14:solidFill>
              <w14:schemeClr w14:val="tx1"/>
            </w14:solidFill>
          </w14:textFill>
        </w:rPr>
        <w:t>）进行平行测定，来验证第一种方法的收集效率。粒径分析所得质量浓度应处于由滤膜分析法所得质量浓度的合理的限度范围内。如在试验早期阶段可证明两种方法所得结果相同，则可豁免进一步验证试验。从动物福利方面考虑，应尽量减少无法获得结论的数据，以避免重复进行试验。如受试物蒸汽可能冷凝形成气溶胶或受试物蒸汽中测得的颗粒物可能以混合相的形式存在，需对此类受试物进行粒径测定</w:t>
      </w:r>
      <w:r>
        <w:rPr>
          <w:rFonts w:hint="eastAsia" w:eastAsia="仿宋" w:cs="Times New Roman"/>
          <w:color w:val="000000" w:themeColor="text1"/>
          <w:sz w:val="32"/>
          <w:szCs w:val="32"/>
          <w:highlight w:val="none"/>
          <w:lang w:eastAsia="zh-CN"/>
          <w14:textFill>
            <w14:solidFill>
              <w14:schemeClr w14:val="tx1"/>
            </w14:solidFill>
          </w14:textFill>
        </w:rPr>
        <w:t>。</w:t>
      </w:r>
    </w:p>
    <w:p>
      <w:pPr>
        <w:widowControl w:val="0"/>
        <w:adjustRightInd w:val="0"/>
        <w:snapToGrid w:val="0"/>
        <w:spacing w:line="360" w:lineRule="auto"/>
        <w:ind w:firstLine="643" w:firstLineChars="200"/>
        <w:jc w:val="left"/>
        <w:outlineLvl w:val="1"/>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pPr>
      <w:bookmarkStart w:id="39" w:name="_Toc121730511"/>
      <w:r>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t>（二）实验动物</w:t>
      </w:r>
      <w:bookmarkEnd w:id="39"/>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通常选用年轻、性成熟的成年动物，雌性动物未经产、未妊娠。首选大鼠（8</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12周龄），若选用其他动物种属，需说明理由和依据。</w:t>
      </w:r>
      <w:r>
        <w:rPr>
          <w:rFonts w:hint="eastAsia" w:eastAsia="仿宋" w:cs="Times New Roman"/>
          <w:color w:val="000000" w:themeColor="text1"/>
          <w:sz w:val="32"/>
          <w:szCs w:val="32"/>
          <w:highlight w:val="none"/>
          <w:lang w:val="en-US" w:eastAsia="zh-CN"/>
          <w14:textFill>
            <w14:solidFill>
              <w14:schemeClr w14:val="tx1"/>
            </w14:solidFill>
          </w14:textFill>
        </w:rPr>
        <w:t>动物的</w:t>
      </w:r>
      <w:r>
        <w:rPr>
          <w:rFonts w:hint="default" w:ascii="Times New Roman" w:hAnsi="Times New Roman" w:eastAsia="仿宋" w:cs="Times New Roman"/>
          <w:color w:val="000000" w:themeColor="text1"/>
          <w:sz w:val="32"/>
          <w:szCs w:val="32"/>
          <w:highlight w:val="none"/>
          <w14:textFill>
            <w14:solidFill>
              <w14:schemeClr w14:val="tx1"/>
            </w14:solidFill>
          </w14:textFill>
        </w:rPr>
        <w:t>体重应控制在与上一</w:t>
      </w:r>
      <w:r>
        <w:rPr>
          <w:rFonts w:hint="eastAsia" w:eastAsia="仿宋" w:cs="Times New Roman"/>
          <w:color w:val="000000" w:themeColor="text1"/>
          <w:sz w:val="32"/>
          <w:szCs w:val="32"/>
          <w:highlight w:val="none"/>
          <w:lang w:val="en-US" w:eastAsia="zh-CN"/>
          <w14:textFill>
            <w14:solidFill>
              <w14:schemeClr w14:val="tx1"/>
            </w14:solidFill>
          </w14:textFill>
        </w:rPr>
        <w:t>步骤</w:t>
      </w:r>
      <w:r>
        <w:rPr>
          <w:rFonts w:hint="default" w:ascii="Times New Roman" w:hAnsi="Times New Roman" w:eastAsia="仿宋" w:cs="Times New Roman"/>
          <w:color w:val="000000" w:themeColor="text1"/>
          <w:sz w:val="32"/>
          <w:szCs w:val="32"/>
          <w:highlight w:val="none"/>
          <w14:textFill>
            <w14:solidFill>
              <w14:schemeClr w14:val="tx1"/>
            </w14:solidFill>
          </w14:textFill>
        </w:rPr>
        <w:t>试验</w:t>
      </w:r>
      <w:r>
        <w:rPr>
          <w:rFonts w:hint="eastAsia" w:eastAsia="仿宋" w:cs="Times New Roman"/>
          <w:color w:val="000000" w:themeColor="text1"/>
          <w:sz w:val="32"/>
          <w:szCs w:val="32"/>
          <w:highlight w:val="none"/>
          <w:lang w:val="en-US" w:eastAsia="zh-CN"/>
          <w14:textFill>
            <w14:solidFill>
              <w14:schemeClr w14:val="tx1"/>
            </w14:solidFill>
          </w14:textFill>
        </w:rPr>
        <w:t>中</w:t>
      </w:r>
      <w:r>
        <w:rPr>
          <w:rFonts w:hint="default" w:ascii="Times New Roman" w:hAnsi="Times New Roman" w:eastAsia="仿宋" w:cs="Times New Roman"/>
          <w:color w:val="000000" w:themeColor="text1"/>
          <w:sz w:val="32"/>
          <w:szCs w:val="32"/>
          <w:highlight w:val="none"/>
          <w14:textFill>
            <w14:solidFill>
              <w14:schemeClr w14:val="tx1"/>
            </w14:solidFill>
          </w14:textFill>
        </w:rPr>
        <w:t>相同</w:t>
      </w:r>
      <w:r>
        <w:rPr>
          <w:rFonts w:hint="eastAsia" w:eastAsia="仿宋" w:cs="Times New Roman"/>
          <w:color w:val="000000" w:themeColor="text1"/>
          <w:sz w:val="32"/>
          <w:szCs w:val="32"/>
          <w:highlight w:val="none"/>
          <w:lang w:val="en-US" w:eastAsia="zh-CN"/>
          <w14:textFill>
            <w14:solidFill>
              <w14:schemeClr w14:val="tx1"/>
            </w14:solidFill>
          </w14:textFill>
        </w:rPr>
        <w:t>周</w:t>
      </w:r>
      <w:r>
        <w:rPr>
          <w:rFonts w:hint="default" w:ascii="Times New Roman" w:hAnsi="Times New Roman" w:eastAsia="仿宋" w:cs="Times New Roman"/>
          <w:color w:val="000000" w:themeColor="text1"/>
          <w:sz w:val="32"/>
          <w:szCs w:val="32"/>
          <w:highlight w:val="none"/>
          <w14:textFill>
            <w14:solidFill>
              <w14:schemeClr w14:val="tx1"/>
            </w14:solidFill>
          </w14:textFill>
        </w:rPr>
        <w:t>龄、相同性别动物</w:t>
      </w:r>
      <w:r>
        <w:rPr>
          <w:rFonts w:hint="eastAsia" w:eastAsia="仿宋" w:cs="Times New Roman"/>
          <w:color w:val="000000" w:themeColor="text1"/>
          <w:sz w:val="32"/>
          <w:szCs w:val="32"/>
          <w:highlight w:val="none"/>
          <w:lang w:eastAsia="zh-CN"/>
          <w14:textFill>
            <w14:solidFill>
              <w14:schemeClr w14:val="tx1"/>
            </w14:solidFill>
          </w14:textFill>
        </w:rPr>
        <w:t>的</w:t>
      </w:r>
      <w:r>
        <w:rPr>
          <w:rFonts w:hint="default" w:ascii="Times New Roman" w:hAnsi="Times New Roman" w:eastAsia="仿宋" w:cs="Times New Roman"/>
          <w:color w:val="000000" w:themeColor="text1"/>
          <w:sz w:val="32"/>
          <w:szCs w:val="32"/>
          <w:highlight w:val="none"/>
          <w14:textFill>
            <w14:solidFill>
              <w14:schemeClr w14:val="tx1"/>
            </w14:solidFill>
          </w14:textFill>
        </w:rPr>
        <w:t>平均体重相差不超过±20%。动物试验分组应符合随机</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分配</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和</w:t>
      </w:r>
      <w:r>
        <w:rPr>
          <w:rFonts w:hint="default" w:ascii="Times New Roman" w:hAnsi="Times New Roman" w:eastAsia="仿宋" w:cs="Times New Roman"/>
          <w:color w:val="000000" w:themeColor="text1"/>
          <w:sz w:val="32"/>
          <w:szCs w:val="32"/>
          <w:highlight w:val="none"/>
          <w14:textFill>
            <w14:solidFill>
              <w14:schemeClr w14:val="tx1"/>
            </w14:solidFill>
          </w14:textFill>
        </w:rPr>
        <w:t>对照原则。所有动物</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通常指大鼠</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刚到达</w:t>
      </w:r>
      <w:r>
        <w:rPr>
          <w:rFonts w:hint="eastAsia" w:eastAsia="仿宋" w:cs="Times New Roman"/>
          <w:color w:val="000000" w:themeColor="text1"/>
          <w:sz w:val="32"/>
          <w:szCs w:val="32"/>
          <w:highlight w:val="none"/>
          <w:lang w:val="en-US" w:eastAsia="zh-CN"/>
          <w14:textFill>
            <w14:solidFill>
              <w14:schemeClr w14:val="tx1"/>
            </w14:solidFill>
          </w14:textFill>
        </w:rPr>
        <w:t>实验</w:t>
      </w:r>
      <w:r>
        <w:rPr>
          <w:rFonts w:hint="default" w:ascii="Times New Roman" w:hAnsi="Times New Roman" w:eastAsia="仿宋" w:cs="Times New Roman"/>
          <w:color w:val="000000" w:themeColor="text1"/>
          <w:sz w:val="32"/>
          <w:szCs w:val="32"/>
          <w:highlight w:val="none"/>
          <w14:textFill>
            <w14:solidFill>
              <w14:schemeClr w14:val="tx1"/>
            </w14:solidFill>
          </w14:textFill>
        </w:rPr>
        <w:t>动物房后应经过至少5天</w:t>
      </w:r>
      <w:r>
        <w:rPr>
          <w:rFonts w:hint="eastAsia" w:eastAsia="仿宋" w:cs="Times New Roman"/>
          <w:color w:val="000000" w:themeColor="text1"/>
          <w:sz w:val="32"/>
          <w:szCs w:val="32"/>
          <w:highlight w:val="none"/>
          <w:lang w:val="en-US" w:eastAsia="zh-CN"/>
          <w14:textFill>
            <w14:solidFill>
              <w14:schemeClr w14:val="tx1"/>
            </w14:solidFill>
          </w14:textFill>
        </w:rPr>
        <w:t>后再开展试验，</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使</w:t>
      </w:r>
      <w:r>
        <w:rPr>
          <w:rFonts w:hint="eastAsia" w:eastAsia="仿宋" w:cs="Times New Roman"/>
          <w:color w:val="000000" w:themeColor="text1"/>
          <w:sz w:val="32"/>
          <w:szCs w:val="32"/>
          <w:highlight w:val="none"/>
          <w:lang w:val="en-US" w:eastAsia="zh-CN"/>
          <w14:textFill>
            <w14:solidFill>
              <w14:schemeClr w14:val="tx1"/>
            </w14:solidFill>
          </w14:textFill>
        </w:rPr>
        <w:t>动物</w:t>
      </w:r>
      <w:r>
        <w:rPr>
          <w:rFonts w:hint="default" w:ascii="Times New Roman" w:hAnsi="Times New Roman" w:eastAsia="仿宋" w:cs="Times New Roman"/>
          <w:color w:val="000000" w:themeColor="text1"/>
          <w:sz w:val="32"/>
          <w:szCs w:val="32"/>
          <w:highlight w:val="none"/>
          <w14:textFill>
            <w14:solidFill>
              <w14:schemeClr w14:val="tx1"/>
            </w14:solidFill>
          </w14:textFill>
        </w:rPr>
        <w:t>适应饲养环境；试验前还需对动物进行短期适应训练，以减少因进入新的环境和染毒设备而造成的</w:t>
      </w:r>
      <w:r>
        <w:rPr>
          <w:rFonts w:hint="eastAsia" w:eastAsia="仿宋" w:cs="Times New Roman"/>
          <w:color w:val="000000" w:themeColor="text1"/>
          <w:sz w:val="32"/>
          <w:szCs w:val="32"/>
          <w:highlight w:val="none"/>
          <w:lang w:eastAsia="zh-CN"/>
          <w14:textFill>
            <w14:solidFill>
              <w14:schemeClr w14:val="tx1"/>
            </w14:solidFill>
          </w14:textFill>
        </w:rPr>
        <w:t>应激反应</w:t>
      </w:r>
      <w:r>
        <w:rPr>
          <w:rFonts w:hint="default" w:ascii="Times New Roman" w:hAnsi="Times New Roman" w:eastAsia="仿宋" w:cs="Times New Roman"/>
          <w:color w:val="000000" w:themeColor="text1"/>
          <w:sz w:val="32"/>
          <w:szCs w:val="32"/>
          <w:highlight w:val="none"/>
          <w14:textFill>
            <w14:solidFill>
              <w14:schemeClr w14:val="tx1"/>
            </w14:solidFill>
          </w14:textFill>
        </w:rPr>
        <w:t>。动物饲料应有检验合格证明。饲养过程中应保证动物能自由摄食和饮水。染毒暴露前和结束后，实验室内温度、相对湿度和光照</w:t>
      </w:r>
      <w:r>
        <w:rPr>
          <w:rFonts w:hint="eastAsia" w:eastAsia="仿宋" w:cs="Times New Roman"/>
          <w:color w:val="000000" w:themeColor="text1"/>
          <w:sz w:val="32"/>
          <w:szCs w:val="32"/>
          <w:highlight w:val="none"/>
          <w:lang w:val="en-US" w:eastAsia="zh-CN"/>
          <w14:textFill>
            <w14:solidFill>
              <w14:schemeClr w14:val="tx1"/>
            </w14:solidFill>
          </w14:textFill>
        </w:rPr>
        <w:t>条件</w:t>
      </w:r>
      <w:r>
        <w:rPr>
          <w:rFonts w:hint="default" w:ascii="Times New Roman" w:hAnsi="Times New Roman" w:eastAsia="仿宋" w:cs="Times New Roman"/>
          <w:color w:val="000000" w:themeColor="text1"/>
          <w:sz w:val="32"/>
          <w:szCs w:val="32"/>
          <w:highlight w:val="none"/>
          <w14:textFill>
            <w14:solidFill>
              <w14:schemeClr w14:val="tx1"/>
            </w14:solidFill>
          </w14:textFill>
        </w:rPr>
        <w:t>应</w:t>
      </w:r>
      <w:r>
        <w:rPr>
          <w:rFonts w:hint="eastAsia" w:eastAsia="仿宋" w:cs="Times New Roman"/>
          <w:color w:val="000000" w:themeColor="text1"/>
          <w:sz w:val="32"/>
          <w:szCs w:val="32"/>
          <w:highlight w:val="none"/>
          <w:lang w:val="en-US" w:eastAsia="zh-CN"/>
          <w14:textFill>
            <w14:solidFill>
              <w14:schemeClr w14:val="tx1"/>
            </w14:solidFill>
          </w14:textFill>
        </w:rPr>
        <w:t>符合国标《实验动物 环境及设施》中的要求，并</w:t>
      </w:r>
      <w:r>
        <w:rPr>
          <w:rFonts w:hint="default" w:ascii="Times New Roman" w:hAnsi="Times New Roman" w:eastAsia="仿宋" w:cs="Times New Roman"/>
          <w:color w:val="000000" w:themeColor="text1"/>
          <w:sz w:val="32"/>
          <w:szCs w:val="32"/>
          <w:highlight w:val="none"/>
          <w14:textFill>
            <w14:solidFill>
              <w14:schemeClr w14:val="tx1"/>
            </w14:solidFill>
          </w14:textFill>
        </w:rPr>
        <w:t>保持相对稳定。染毒结束后，实验动物按照不同性别和染毒浓度分笼饲养，以便对每只动物进行观察、防止笼内动物之间因斗争、撕咬影响结果观察。</w:t>
      </w:r>
    </w:p>
    <w:p>
      <w:pPr>
        <w:widowControl w:val="0"/>
        <w:adjustRightInd w:val="0"/>
        <w:snapToGrid w:val="0"/>
        <w:spacing w:line="360" w:lineRule="auto"/>
        <w:ind w:firstLine="643" w:firstLineChars="200"/>
        <w:jc w:val="left"/>
        <w:outlineLvl w:val="1"/>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pPr>
      <w:bookmarkStart w:id="40" w:name="_Toc121730512"/>
      <w:r>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t>（三）染毒条件控制</w:t>
      </w:r>
      <w:bookmarkEnd w:id="40"/>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应根据受试物特性和试验目的选择染毒方式，一般采用口鼻暴露</w:t>
      </w:r>
      <w:r>
        <w:rPr>
          <w:rFonts w:hint="eastAsia" w:eastAsia="仿宋" w:cs="Times New Roman"/>
          <w:color w:val="000000" w:themeColor="text1"/>
          <w:sz w:val="32"/>
          <w:szCs w:val="32"/>
          <w:highlight w:val="none"/>
          <w:lang w:eastAsia="zh-CN"/>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N</w:t>
      </w:r>
      <w:r>
        <w:rPr>
          <w:rFonts w:hint="eastAsia" w:eastAsia="仿宋" w:cs="Times New Roman"/>
          <w:color w:val="000000" w:themeColor="text1"/>
          <w:sz w:val="32"/>
          <w:szCs w:val="32"/>
          <w:highlight w:val="none"/>
          <w:lang w:eastAsia="zh-CN"/>
          <w14:textFill>
            <w14:solidFill>
              <w14:schemeClr w14:val="tx1"/>
            </w14:solidFill>
          </w14:textFill>
        </w:rPr>
        <w:t>ose</w:t>
      </w:r>
      <w:r>
        <w:rPr>
          <w:rFonts w:hint="eastAsia" w:eastAsia="仿宋" w:cs="Times New Roman"/>
          <w:color w:val="000000" w:themeColor="text1"/>
          <w:sz w:val="32"/>
          <w:szCs w:val="32"/>
          <w:highlight w:val="none"/>
          <w:lang w:val="en-US" w:eastAsia="zh-CN"/>
          <w14:textFill>
            <w14:solidFill>
              <w14:schemeClr w14:val="tx1"/>
            </w14:solidFill>
          </w14:textFill>
        </w:rPr>
        <w:t xml:space="preserve"> </w:t>
      </w:r>
      <w:r>
        <w:rPr>
          <w:rFonts w:hint="eastAsia" w:eastAsia="仿宋" w:cs="Times New Roman"/>
          <w:color w:val="000000" w:themeColor="text1"/>
          <w:sz w:val="32"/>
          <w:szCs w:val="32"/>
          <w:highlight w:val="none"/>
          <w:lang w:eastAsia="zh-CN"/>
          <w14:textFill>
            <w14:solidFill>
              <w14:schemeClr w14:val="tx1"/>
            </w14:solidFill>
          </w14:textFill>
        </w:rPr>
        <w:t>only）</w:t>
      </w:r>
      <w:r>
        <w:rPr>
          <w:rFonts w:hint="default" w:ascii="Times New Roman" w:hAnsi="Times New Roman" w:eastAsia="仿宋" w:cs="Times New Roman"/>
          <w:color w:val="000000" w:themeColor="text1"/>
          <w:sz w:val="32"/>
          <w:szCs w:val="32"/>
          <w:highlight w:val="none"/>
          <w14:textFill>
            <w14:solidFill>
              <w14:schemeClr w14:val="tx1"/>
            </w14:solidFill>
          </w14:textFill>
        </w:rPr>
        <w:t>或全身暴露</w:t>
      </w:r>
      <w:r>
        <w:rPr>
          <w:rFonts w:hint="eastAsia" w:eastAsia="仿宋" w:cs="Times New Roman"/>
          <w:color w:val="000000" w:themeColor="text1"/>
          <w:sz w:val="32"/>
          <w:szCs w:val="32"/>
          <w:highlight w:val="none"/>
          <w:lang w:eastAsia="zh-CN"/>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W</w:t>
      </w:r>
      <w:r>
        <w:rPr>
          <w:rFonts w:hint="eastAsia" w:eastAsia="仿宋" w:cs="Times New Roman"/>
          <w:color w:val="000000" w:themeColor="text1"/>
          <w:sz w:val="32"/>
          <w:szCs w:val="32"/>
          <w:highlight w:val="none"/>
          <w:lang w:eastAsia="zh-CN"/>
          <w14:textFill>
            <w14:solidFill>
              <w14:schemeClr w14:val="tx1"/>
            </w14:solidFill>
          </w14:textFill>
        </w:rPr>
        <w:t>hole body）</w:t>
      </w:r>
      <w:r>
        <w:rPr>
          <w:rFonts w:hint="default" w:ascii="Times New Roman" w:hAnsi="Times New Roman" w:eastAsia="仿宋" w:cs="Times New Roman"/>
          <w:color w:val="000000" w:themeColor="text1"/>
          <w:sz w:val="32"/>
          <w:szCs w:val="32"/>
          <w:highlight w:val="none"/>
          <w14:textFill>
            <w14:solidFill>
              <w14:schemeClr w14:val="tx1"/>
            </w14:solidFill>
          </w14:textFill>
        </w:rPr>
        <w:t>的方式</w:t>
      </w:r>
      <w:r>
        <w:rPr>
          <w:rFonts w:hint="eastAsia" w:eastAsia="仿宋" w:cs="Times New Roman"/>
          <w:color w:val="000000" w:themeColor="text1"/>
          <w:sz w:val="32"/>
          <w:szCs w:val="32"/>
          <w:highlight w:val="none"/>
          <w:lang w:eastAsia="zh-CN"/>
          <w14:textFill>
            <w14:solidFill>
              <w14:schemeClr w14:val="tx1"/>
            </w14:solidFill>
          </w14:textFill>
        </w:rPr>
        <w:t>，在《OECD指导性文件第39号：急性吸入毒性试验》中对</w:t>
      </w:r>
      <w:r>
        <w:rPr>
          <w:rFonts w:hint="eastAsia" w:eastAsia="仿宋" w:cs="Times New Roman"/>
          <w:color w:val="000000" w:themeColor="text1"/>
          <w:sz w:val="32"/>
          <w:szCs w:val="32"/>
          <w:highlight w:val="none"/>
          <w:lang w:val="en-US" w:eastAsia="zh-CN"/>
          <w14:textFill>
            <w14:solidFill>
              <w14:schemeClr w14:val="tx1"/>
            </w14:solidFill>
          </w14:textFill>
        </w:rPr>
        <w:t>口</w:t>
      </w:r>
      <w:r>
        <w:rPr>
          <w:rFonts w:hint="eastAsia" w:eastAsia="仿宋" w:cs="Times New Roman"/>
          <w:color w:val="000000" w:themeColor="text1"/>
          <w:sz w:val="32"/>
          <w:szCs w:val="32"/>
          <w:highlight w:val="none"/>
          <w:lang w:eastAsia="zh-CN"/>
          <w14:textFill>
            <w14:solidFill>
              <w14:schemeClr w14:val="tx1"/>
            </w14:solidFill>
          </w14:textFill>
        </w:rPr>
        <w:t>鼻暴露和全身暴露染毒方式的技术原理和各自的优缺点进行了说明。</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当受试物为液体、固体气溶胶和能产生气溶胶的蒸汽时，首选</w:t>
      </w:r>
      <w:r>
        <w:rPr>
          <w:rFonts w:hint="eastAsia" w:eastAsia="仿宋" w:cs="Times New Roman"/>
          <w:color w:val="000000" w:themeColor="text1"/>
          <w:sz w:val="32"/>
          <w:szCs w:val="32"/>
          <w:highlight w:val="none"/>
          <w:lang w:val="en-US" w:eastAsia="zh-CN"/>
          <w14:textFill>
            <w14:solidFill>
              <w14:schemeClr w14:val="tx1"/>
            </w14:solidFill>
          </w14:textFill>
        </w:rPr>
        <w:t>口</w:t>
      </w:r>
      <w:r>
        <w:rPr>
          <w:rFonts w:hint="default" w:ascii="Times New Roman" w:hAnsi="Times New Roman" w:eastAsia="仿宋" w:cs="Times New Roman"/>
          <w:color w:val="000000" w:themeColor="text1"/>
          <w:sz w:val="32"/>
          <w:szCs w:val="32"/>
          <w:highlight w:val="none"/>
          <w14:textFill>
            <w14:solidFill>
              <w14:schemeClr w14:val="tx1"/>
            </w14:solidFill>
          </w14:textFill>
        </w:rPr>
        <w:t>鼻暴露</w:t>
      </w:r>
      <w:r>
        <w:rPr>
          <w:rFonts w:hint="eastAsia" w:eastAsia="仿宋" w:cs="Times New Roman"/>
          <w:color w:val="000000" w:themeColor="text1"/>
          <w:sz w:val="32"/>
          <w:szCs w:val="32"/>
          <w:highlight w:val="none"/>
          <w:lang w:val="en-US" w:eastAsia="zh-CN"/>
          <w14:textFill>
            <w14:solidFill>
              <w14:schemeClr w14:val="tx1"/>
            </w14:solidFill>
          </w14:textFill>
        </w:rPr>
        <w:t>方式，包括仅头部、鼻部、口鼻部暴露三种染毒方式</w:t>
      </w:r>
      <w:r>
        <w:rPr>
          <w:rFonts w:hint="default" w:ascii="Times New Roman" w:hAnsi="Times New Roman" w:eastAsia="仿宋" w:cs="Times New Roman"/>
          <w:color w:val="000000" w:themeColor="text1"/>
          <w:sz w:val="32"/>
          <w:szCs w:val="32"/>
          <w:highlight w:val="none"/>
          <w14:textFill>
            <w14:solidFill>
              <w14:schemeClr w14:val="tx1"/>
            </w14:solidFill>
          </w14:textFill>
        </w:rPr>
        <w:t>。口鼻暴露</w:t>
      </w:r>
      <w:r>
        <w:rPr>
          <w:rFonts w:hint="eastAsia" w:eastAsia="仿宋" w:cs="Times New Roman"/>
          <w:color w:val="000000" w:themeColor="text1"/>
          <w:sz w:val="32"/>
          <w:szCs w:val="32"/>
          <w:highlight w:val="none"/>
          <w:lang w:val="en-US" w:eastAsia="zh-CN"/>
          <w14:textFill>
            <w14:solidFill>
              <w14:schemeClr w14:val="tx1"/>
            </w14:solidFill>
          </w14:textFill>
        </w:rPr>
        <w:t>方式中受试物在染毒体系中易于均匀分散、不易发生变化，暴露系统中需要的气体体积少，受试物能够快速达到均匀分布，且该暴露方式可更大程度地减少动物经非吸入途径的受试物暴露。但这种方式会限制动物的活动，因此</w:t>
      </w:r>
      <w:r>
        <w:rPr>
          <w:rFonts w:hint="default" w:ascii="Times New Roman" w:hAnsi="Times New Roman" w:eastAsia="仿宋" w:cs="Times New Roman"/>
          <w:color w:val="000000" w:themeColor="text1"/>
          <w:sz w:val="32"/>
          <w:szCs w:val="32"/>
          <w:highlight w:val="none"/>
          <w14:textFill>
            <w14:solidFill>
              <w14:schemeClr w14:val="tx1"/>
            </w14:solidFill>
          </w14:textFill>
        </w:rPr>
        <w:t>当采用口鼻暴露时，</w:t>
      </w:r>
      <w:r>
        <w:rPr>
          <w:rFonts w:hint="eastAsia" w:eastAsia="仿宋" w:cs="Times New Roman"/>
          <w:color w:val="000000" w:themeColor="text1"/>
          <w:sz w:val="32"/>
          <w:szCs w:val="32"/>
          <w:highlight w:val="none"/>
          <w:lang w:val="en-US" w:eastAsia="zh-CN"/>
          <w14:textFill>
            <w14:solidFill>
              <w14:schemeClr w14:val="tx1"/>
            </w14:solidFill>
          </w14:textFill>
        </w:rPr>
        <w:t>应保证</w:t>
      </w:r>
      <w:r>
        <w:rPr>
          <w:rFonts w:hint="default" w:ascii="Times New Roman" w:hAnsi="Times New Roman" w:eastAsia="仿宋" w:cs="Times New Roman"/>
          <w:color w:val="000000" w:themeColor="text1"/>
          <w:sz w:val="32"/>
          <w:szCs w:val="32"/>
          <w:highlight w:val="none"/>
          <w14:textFill>
            <w14:solidFill>
              <w14:schemeClr w14:val="tx1"/>
            </w14:solidFill>
          </w14:textFill>
        </w:rPr>
        <w:t>固定装置</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不</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会</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对动物产生额外的</w:t>
      </w:r>
      <w:r>
        <w:rPr>
          <w:rFonts w:hint="eastAsia" w:eastAsia="仿宋" w:cs="Times New Roman"/>
          <w:color w:val="000000" w:themeColor="text1"/>
          <w:sz w:val="32"/>
          <w:szCs w:val="32"/>
          <w:highlight w:val="none"/>
          <w:lang w:val="en-US" w:eastAsia="zh-CN"/>
          <w14:textFill>
            <w14:solidFill>
              <w14:schemeClr w14:val="tx1"/>
            </w14:solidFill>
          </w14:textFill>
        </w:rPr>
        <w:t>应激反应</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，如由于固定装置与动物体积大小不匹配产生的</w:t>
      </w:r>
      <w:r>
        <w:rPr>
          <w:rFonts w:hint="eastAsia" w:eastAsia="仿宋" w:cs="Times New Roman"/>
          <w:color w:val="000000" w:themeColor="text1"/>
          <w:sz w:val="32"/>
          <w:szCs w:val="32"/>
          <w:highlight w:val="none"/>
          <w:lang w:val="en-US" w:eastAsia="zh-CN"/>
          <w14:textFill>
            <w14:solidFill>
              <w14:schemeClr w14:val="tx1"/>
            </w14:solidFill>
          </w14:textFill>
        </w:rPr>
        <w:t>应激反应</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、固定装置发热产生的</w:t>
      </w:r>
      <w:r>
        <w:rPr>
          <w:rFonts w:hint="eastAsia" w:eastAsia="仿宋" w:cs="Times New Roman"/>
          <w:color w:val="000000" w:themeColor="text1"/>
          <w:sz w:val="32"/>
          <w:szCs w:val="32"/>
          <w:highlight w:val="none"/>
          <w:lang w:val="en-US" w:eastAsia="zh-CN"/>
          <w14:textFill>
            <w14:solidFill>
              <w14:schemeClr w14:val="tx1"/>
            </w14:solidFill>
          </w14:textFill>
        </w:rPr>
        <w:t>应激反应</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等，并确保动物在暴露过程中无法避开吸入染毒气流。</w:t>
      </w:r>
      <w:r>
        <w:rPr>
          <w:rFonts w:hint="default" w:ascii="Times New Roman" w:hAnsi="Times New Roman" w:eastAsia="仿宋" w:cs="Times New Roman"/>
          <w:color w:val="000000" w:themeColor="text1"/>
          <w:sz w:val="32"/>
          <w:szCs w:val="32"/>
          <w:highlight w:val="none"/>
          <w14:textFill>
            <w14:solidFill>
              <w14:schemeClr w14:val="tx1"/>
            </w14:solidFill>
          </w14:textFill>
        </w:rPr>
        <w:t>若动物固定装置可能对动物生理状态造成影响，如造成动物体温和每分钟呼吸量</w:t>
      </w:r>
      <w:r>
        <w:rPr>
          <w:rFonts w:hint="eastAsia" w:eastAsia="仿宋" w:cs="Times New Roman"/>
          <w:color w:val="000000" w:themeColor="text1"/>
          <w:sz w:val="32"/>
          <w:szCs w:val="32"/>
          <w:highlight w:val="none"/>
          <w:lang w:eastAsia="zh-CN"/>
          <w14:textFill>
            <w14:solidFill>
              <w14:schemeClr w14:val="tx1"/>
            </w14:solidFill>
          </w14:textFill>
        </w:rPr>
        <w:t>（Respiratory minute volume，RMV）</w:t>
      </w:r>
      <w:r>
        <w:rPr>
          <w:rFonts w:hint="default" w:ascii="Times New Roman" w:hAnsi="Times New Roman" w:eastAsia="仿宋" w:cs="Times New Roman"/>
          <w:color w:val="000000" w:themeColor="text1"/>
          <w:sz w:val="32"/>
          <w:szCs w:val="32"/>
          <w:highlight w:val="none"/>
          <w14:textFill>
            <w14:solidFill>
              <w14:schemeClr w14:val="tx1"/>
            </w14:solidFill>
          </w14:textFill>
        </w:rPr>
        <w:t>升高等，则需提前将动物放入固定装置使其适应环境。</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当进入暴露染毒系统的空气体积小于流出体积时，应防止空气经其他途径（如经固定装置）进入暴露系统使受试物气溶胶稀释。暴露系统应处于密闭的</w:t>
      </w:r>
      <w:r>
        <w:rPr>
          <w:rFonts w:hint="eastAsia" w:eastAsia="仿宋" w:cs="Times New Roman"/>
          <w:color w:val="000000" w:themeColor="text1"/>
          <w:sz w:val="32"/>
          <w:szCs w:val="32"/>
          <w:highlight w:val="none"/>
          <w:lang w:val="en-US" w:eastAsia="zh-CN"/>
          <w14:textFill>
            <w14:solidFill>
              <w14:schemeClr w14:val="tx1"/>
            </w14:solidFill>
          </w14:textFill>
        </w:rPr>
        <w:t>染毒装置</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，保证</w:t>
      </w:r>
      <w:r>
        <w:rPr>
          <w:rFonts w:hint="eastAsia" w:eastAsia="仿宋" w:cs="Times New Roman"/>
          <w:color w:val="000000" w:themeColor="text1"/>
          <w:sz w:val="32"/>
          <w:szCs w:val="32"/>
          <w:highlight w:val="none"/>
          <w:lang w:val="en-US" w:eastAsia="zh-CN"/>
          <w14:textFill>
            <w14:solidFill>
              <w14:schemeClr w14:val="tx1"/>
            </w14:solidFill>
          </w14:textFill>
        </w:rPr>
        <w:t>染毒装置</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内部处于负压状态以防止受试物泄露到外部环境中。</w:t>
      </w:r>
      <w:r>
        <w:rPr>
          <w:rFonts w:hint="eastAsia" w:eastAsia="仿宋" w:cs="Times New Roman"/>
          <w:color w:val="000000" w:themeColor="text1"/>
          <w:sz w:val="32"/>
          <w:szCs w:val="32"/>
          <w:highlight w:val="none"/>
          <w:lang w:val="en-US" w:eastAsia="zh-CN"/>
          <w14:textFill>
            <w14:solidFill>
              <w14:schemeClr w14:val="tx1"/>
            </w14:solidFill>
          </w14:textFill>
        </w:rPr>
        <w:t>应保证染毒装置内</w:t>
      </w:r>
      <w:r>
        <w:rPr>
          <w:rFonts w:hint="default" w:ascii="Times New Roman" w:hAnsi="Times New Roman" w:eastAsia="仿宋" w:cs="Times New Roman"/>
          <w:color w:val="000000" w:themeColor="text1"/>
          <w:sz w:val="32"/>
          <w:szCs w:val="32"/>
          <w:highlight w:val="none"/>
          <w14:textFill>
            <w14:solidFill>
              <w14:schemeClr w14:val="tx1"/>
            </w14:solidFill>
          </w14:textFill>
        </w:rPr>
        <w:t>氧气浓度不低于19%，二氧化碳浓度不高于1%，</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并</w:t>
      </w:r>
      <w:r>
        <w:rPr>
          <w:rFonts w:hint="eastAsia" w:eastAsia="仿宋" w:cs="Times New Roman"/>
          <w:color w:val="000000" w:themeColor="text1"/>
          <w:sz w:val="32"/>
          <w:szCs w:val="32"/>
          <w:highlight w:val="none"/>
          <w:lang w:val="en-US" w:eastAsia="zh-CN"/>
          <w14:textFill>
            <w14:solidFill>
              <w14:schemeClr w14:val="tx1"/>
            </w14:solidFill>
          </w14:textFill>
        </w:rPr>
        <w:t>确保</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每只动物</w:t>
      </w:r>
      <w:r>
        <w:rPr>
          <w:rFonts w:hint="eastAsia" w:eastAsia="仿宋" w:cs="Times New Roman"/>
          <w:color w:val="000000" w:themeColor="text1"/>
          <w:sz w:val="32"/>
          <w:szCs w:val="32"/>
          <w:highlight w:val="none"/>
          <w:lang w:val="en-US" w:eastAsia="zh-CN"/>
          <w14:textFill>
            <w14:solidFill>
              <w14:schemeClr w14:val="tx1"/>
            </w14:solidFill>
          </w14:textFill>
        </w:rPr>
        <w:t>受试物暴露的</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雾化条件稳定均一</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在采集气溶胶样本时，可</w:t>
      </w:r>
      <w:r>
        <w:rPr>
          <w:rFonts w:hint="eastAsia" w:eastAsia="仿宋" w:cs="Times New Roman"/>
          <w:color w:val="000000" w:themeColor="text1"/>
          <w:sz w:val="32"/>
          <w:szCs w:val="32"/>
          <w:highlight w:val="none"/>
          <w:lang w:val="en-US" w:eastAsia="zh-CN"/>
          <w14:textFill>
            <w14:solidFill>
              <w14:schemeClr w14:val="tx1"/>
            </w14:solidFill>
          </w14:textFill>
        </w:rPr>
        <w:t>适当</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调整采样流量的大小</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以保证暴露系统内条件稳定。</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如出于特殊的试验目的需采用全身暴露染毒，需在试验报告中说明理由和依据</w:t>
      </w:r>
      <w:r>
        <w:rPr>
          <w:rFonts w:hint="eastAsia" w:eastAsia="仿宋" w:cs="Times New Roman"/>
          <w:color w:val="000000" w:themeColor="text1"/>
          <w:sz w:val="32"/>
          <w:szCs w:val="32"/>
          <w:highlight w:val="none"/>
          <w:lang w:eastAsia="zh-CN"/>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全身暴露染毒是将动物置于封闭的染毒装置内进行雾化吸入暴露，全身暴露装置需配备动态气流，一般每小时换气约12次～15次。染毒装置内应保持负压状态以防止受试物泄露到外部环境中。应保证染毒装置内</w:t>
      </w:r>
      <w:r>
        <w:rPr>
          <w:rFonts w:hint="default" w:ascii="Times New Roman" w:hAnsi="Times New Roman" w:eastAsia="仿宋" w:cs="Times New Roman"/>
          <w:color w:val="000000" w:themeColor="text1"/>
          <w:sz w:val="32"/>
          <w:szCs w:val="32"/>
          <w:highlight w:val="none"/>
          <w14:textFill>
            <w14:solidFill>
              <w14:schemeClr w14:val="tx1"/>
            </w14:solidFill>
          </w14:textFill>
        </w:rPr>
        <w:t>氧气浓度不低于19%，二氧化碳浓度不高于1%，</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并</w:t>
      </w:r>
      <w:r>
        <w:rPr>
          <w:rFonts w:hint="eastAsia" w:eastAsia="仿宋" w:cs="Times New Roman"/>
          <w:color w:val="000000" w:themeColor="text1"/>
          <w:sz w:val="32"/>
          <w:szCs w:val="32"/>
          <w:highlight w:val="none"/>
          <w:lang w:val="en-US" w:eastAsia="zh-CN"/>
          <w14:textFill>
            <w14:solidFill>
              <w14:schemeClr w14:val="tx1"/>
            </w14:solidFill>
          </w14:textFill>
        </w:rPr>
        <w:t>确保</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每只动物</w:t>
      </w:r>
      <w:r>
        <w:rPr>
          <w:rFonts w:hint="eastAsia" w:eastAsia="仿宋" w:cs="Times New Roman"/>
          <w:color w:val="000000" w:themeColor="text1"/>
          <w:sz w:val="32"/>
          <w:szCs w:val="32"/>
          <w:highlight w:val="none"/>
          <w:lang w:val="en-US" w:eastAsia="zh-CN"/>
          <w14:textFill>
            <w14:solidFill>
              <w14:schemeClr w14:val="tx1"/>
            </w14:solidFill>
          </w14:textFill>
        </w:rPr>
        <w:t>受试物暴露的</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雾化条件稳定均一</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在采集气溶胶样本时，可</w:t>
      </w:r>
      <w:r>
        <w:rPr>
          <w:rFonts w:hint="eastAsia" w:eastAsia="仿宋" w:cs="Times New Roman"/>
          <w:color w:val="000000" w:themeColor="text1"/>
          <w:sz w:val="32"/>
          <w:szCs w:val="32"/>
          <w:highlight w:val="none"/>
          <w:lang w:val="en-US" w:eastAsia="zh-CN"/>
          <w14:textFill>
            <w14:solidFill>
              <w14:schemeClr w14:val="tx1"/>
            </w14:solidFill>
          </w14:textFill>
        </w:rPr>
        <w:t>适当</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调整采样流量的大小</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以保证暴露系统内条件稳定。</w:t>
      </w:r>
      <w:r>
        <w:rPr>
          <w:rFonts w:hint="default" w:ascii="Times New Roman" w:hAnsi="Times New Roman" w:eastAsia="仿宋" w:cs="Times New Roman"/>
          <w:color w:val="000000" w:themeColor="text1"/>
          <w:sz w:val="32"/>
          <w:szCs w:val="32"/>
          <w:highlight w:val="none"/>
          <w14:textFill>
            <w14:solidFill>
              <w14:schemeClr w14:val="tx1"/>
            </w14:solidFill>
          </w14:textFill>
        </w:rPr>
        <w:t>为保证柜内气体稳定，应确保动物体积不超过染毒装置容积的5%。当采用全身暴露时，应对每只动物单独进行染毒，以防止受试物气溶胶被染毒装置内动物被毛过滤而改变实际暴露量，以及因动物之间理毛行为经口摄入受试物。全身暴露时可为动物提供饮水。</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吸入暴露期间应对动物禁食。吸入暴露时间一般为4小时，但不包括受试物浓度达到稳定平衡所需时间。出于特殊的试验</w:t>
      </w:r>
      <w:r>
        <w:rPr>
          <w:rFonts w:hint="eastAsia" w:eastAsia="仿宋" w:cs="Times New Roman"/>
          <w:color w:val="000000" w:themeColor="text1"/>
          <w:sz w:val="32"/>
          <w:szCs w:val="32"/>
          <w:highlight w:val="none"/>
          <w:lang w:val="en-US" w:eastAsia="zh-CN"/>
          <w14:textFill>
            <w14:solidFill>
              <w14:schemeClr w14:val="tx1"/>
            </w14:solidFill>
          </w14:textFill>
        </w:rPr>
        <w:t>或管理</w:t>
      </w:r>
      <w:r>
        <w:rPr>
          <w:rFonts w:hint="default" w:ascii="Times New Roman" w:hAnsi="Times New Roman" w:eastAsia="仿宋" w:cs="Times New Roman"/>
          <w:color w:val="000000" w:themeColor="text1"/>
          <w:sz w:val="32"/>
          <w:szCs w:val="32"/>
          <w:highlight w:val="none"/>
          <w14:textFill>
            <w14:solidFill>
              <w14:schemeClr w14:val="tx1"/>
            </w14:solidFill>
          </w14:textFill>
        </w:rPr>
        <w:t>目的时，可采用其他暴露时间</w:t>
      </w:r>
      <w:r>
        <w:rPr>
          <w:rFonts w:hint="eastAsia" w:eastAsia="仿宋" w:cs="Times New Roman"/>
          <w:color w:val="000000" w:themeColor="text1"/>
          <w:sz w:val="32"/>
          <w:szCs w:val="32"/>
          <w:highlight w:val="none"/>
          <w:lang w:eastAsia="zh-CN"/>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非4小时</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，但需在试验报告中说明理由和依据，例如采用</w:t>
      </w:r>
      <w:r>
        <w:rPr>
          <w:rFonts w:hint="eastAsia" w:eastAsia="仿宋" w:cs="Times New Roman"/>
          <w:color w:val="000000" w:themeColor="text1"/>
          <w:sz w:val="32"/>
          <w:szCs w:val="32"/>
          <w:highlight w:val="none"/>
          <w:lang w:eastAsia="zh-CN"/>
          <w14:textFill>
            <w14:solidFill>
              <w14:schemeClr w14:val="tx1"/>
            </w14:solidFill>
          </w14:textFill>
        </w:rPr>
        <w:t>口鼻</w:t>
      </w:r>
      <w:r>
        <w:rPr>
          <w:rFonts w:hint="default" w:ascii="Times New Roman" w:hAnsi="Times New Roman" w:eastAsia="仿宋" w:cs="Times New Roman"/>
          <w:color w:val="000000" w:themeColor="text1"/>
          <w:sz w:val="32"/>
          <w:szCs w:val="32"/>
          <w:highlight w:val="none"/>
          <w14:textFill>
            <w14:solidFill>
              <w14:schemeClr w14:val="tx1"/>
            </w14:solidFill>
          </w14:textFill>
        </w:rPr>
        <w:t>暴露且使用非大鼠的啮齿类动物时，因种属差异需要调整最大暴露时间。</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染毒期间，应严格控制并记录（每次暴露期间连续在线监测并每小时记录一次数值）通过染毒装置的气流速率。通过监测气体中受试物浓度（或其稳定性）可以间接反</w:t>
      </w:r>
      <w:bookmarkStart w:id="41" w:name="OLE_LINK4"/>
      <w:r>
        <w:rPr>
          <w:rFonts w:hint="default" w:ascii="Times New Roman" w:hAnsi="Times New Roman" w:eastAsia="仿宋" w:cs="Times New Roman"/>
          <w:color w:val="000000" w:themeColor="text1"/>
          <w:sz w:val="32"/>
          <w:szCs w:val="32"/>
          <w:highlight w:val="none"/>
          <w14:textFill>
            <w14:solidFill>
              <w14:schemeClr w14:val="tx1"/>
            </w14:solidFill>
          </w14:textFill>
        </w:rPr>
        <w:t>映所有相关的</w:t>
      </w:r>
      <w:r>
        <w:rPr>
          <w:rFonts w:hint="eastAsia" w:eastAsia="仿宋" w:cs="Times New Roman"/>
          <w:color w:val="000000" w:themeColor="text1"/>
          <w:sz w:val="32"/>
          <w:szCs w:val="32"/>
          <w:highlight w:val="none"/>
          <w:lang w:eastAsia="zh-CN"/>
          <w14:textFill>
            <w14:solidFill>
              <w14:schemeClr w14:val="tx1"/>
            </w14:solidFill>
          </w14:textFill>
        </w:rPr>
        <w:t>空气</w:t>
      </w:r>
      <w:r>
        <w:rPr>
          <w:rFonts w:hint="default" w:ascii="Times New Roman" w:hAnsi="Times New Roman" w:eastAsia="仿宋" w:cs="Times New Roman"/>
          <w:color w:val="000000" w:themeColor="text1"/>
          <w:sz w:val="32"/>
          <w:szCs w:val="32"/>
          <w:highlight w:val="none"/>
          <w14:textFill>
            <w14:solidFill>
              <w14:schemeClr w14:val="tx1"/>
            </w14:solidFill>
          </w14:textFill>
        </w:rPr>
        <w:t>动力学参数对试验影响的综合结果</w:t>
      </w:r>
      <w:bookmarkEnd w:id="41"/>
      <w:r>
        <w:rPr>
          <w:rFonts w:hint="default" w:ascii="Times New Roman" w:hAnsi="Times New Roman" w:eastAsia="仿宋" w:cs="Times New Roman"/>
          <w:color w:val="000000" w:themeColor="text1"/>
          <w:sz w:val="32"/>
          <w:szCs w:val="32"/>
          <w:highlight w:val="none"/>
          <w14:textFill>
            <w14:solidFill>
              <w14:schemeClr w14:val="tx1"/>
            </w14:solidFill>
          </w14:textFill>
        </w:rPr>
        <w:t>。动物经</w:t>
      </w:r>
      <w:r>
        <w:rPr>
          <w:rFonts w:hint="eastAsia" w:eastAsia="仿宋" w:cs="Times New Roman"/>
          <w:color w:val="000000" w:themeColor="text1"/>
          <w:sz w:val="32"/>
          <w:szCs w:val="32"/>
          <w:highlight w:val="none"/>
          <w:lang w:eastAsia="zh-CN"/>
          <w14:textFill>
            <w14:solidFill>
              <w14:schemeClr w14:val="tx1"/>
            </w14:solidFill>
          </w14:textFill>
        </w:rPr>
        <w:t>口鼻</w:t>
      </w:r>
      <w:r>
        <w:rPr>
          <w:rFonts w:hint="default" w:ascii="Times New Roman" w:hAnsi="Times New Roman" w:eastAsia="仿宋" w:cs="Times New Roman"/>
          <w:color w:val="000000" w:themeColor="text1"/>
          <w:sz w:val="32"/>
          <w:szCs w:val="32"/>
          <w:highlight w:val="none"/>
          <w14:textFill>
            <w14:solidFill>
              <w14:schemeClr w14:val="tx1"/>
            </w14:solidFill>
          </w14:textFill>
        </w:rPr>
        <w:t>暴露时，需特别注意避免因受试物气体的气流动力不足导致动物发生重复吸入的状况。</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染毒装置内温度和相对湿度范围</w:t>
      </w:r>
      <w:r>
        <w:rPr>
          <w:rFonts w:hint="eastAsia" w:eastAsia="仿宋" w:cs="Times New Roman"/>
          <w:color w:val="000000" w:themeColor="text1"/>
          <w:sz w:val="32"/>
          <w:szCs w:val="32"/>
          <w:highlight w:val="none"/>
          <w:lang w:val="en-US" w:eastAsia="zh-CN"/>
          <w14:textFill>
            <w14:solidFill>
              <w14:schemeClr w14:val="tx1"/>
            </w14:solidFill>
          </w14:textFill>
        </w:rPr>
        <w:t>原则上</w:t>
      </w:r>
      <w:r>
        <w:rPr>
          <w:rFonts w:hint="default" w:ascii="Times New Roman" w:hAnsi="Times New Roman" w:eastAsia="仿宋" w:cs="Times New Roman"/>
          <w:color w:val="000000" w:themeColor="text1"/>
          <w:sz w:val="32"/>
          <w:szCs w:val="32"/>
          <w:highlight w:val="none"/>
          <w14:textFill>
            <w14:solidFill>
              <w14:schemeClr w14:val="tx1"/>
            </w14:solidFill>
          </w14:textFill>
        </w:rPr>
        <w:t>应</w:t>
      </w:r>
      <w:r>
        <w:rPr>
          <w:rFonts w:hint="eastAsia" w:eastAsia="仿宋" w:cs="Times New Roman"/>
          <w:color w:val="000000" w:themeColor="text1"/>
          <w:sz w:val="32"/>
          <w:szCs w:val="32"/>
          <w:highlight w:val="none"/>
          <w:lang w:val="en-US" w:eastAsia="zh-CN"/>
          <w14:textFill>
            <w14:solidFill>
              <w14:schemeClr w14:val="tx1"/>
            </w14:solidFill>
          </w14:textFill>
        </w:rPr>
        <w:t>符合国标《实验动物 环境及设施》中的要求，并</w:t>
      </w:r>
      <w:r>
        <w:rPr>
          <w:rFonts w:hint="default" w:ascii="Times New Roman" w:hAnsi="Times New Roman" w:eastAsia="仿宋" w:cs="Times New Roman"/>
          <w:color w:val="000000" w:themeColor="text1"/>
          <w:sz w:val="32"/>
          <w:szCs w:val="32"/>
          <w:highlight w:val="none"/>
          <w14:textFill>
            <w14:solidFill>
              <w14:schemeClr w14:val="tx1"/>
            </w14:solidFill>
          </w14:textFill>
        </w:rPr>
        <w:t>维持相对稳定。如因客观条件相对湿度无法达到标准，例如受试物以水为</w:t>
      </w:r>
      <w:r>
        <w:rPr>
          <w:rFonts w:hint="eastAsia" w:eastAsia="仿宋" w:cs="Times New Roman"/>
          <w:color w:val="000000" w:themeColor="text1"/>
          <w:sz w:val="32"/>
          <w:szCs w:val="32"/>
          <w:highlight w:val="none"/>
          <w:lang w:eastAsia="zh-CN"/>
          <w14:textFill>
            <w14:solidFill>
              <w14:schemeClr w14:val="tx1"/>
            </w14:solidFill>
          </w14:textFill>
        </w:rPr>
        <w:t>溶媒载体</w:t>
      </w:r>
      <w:r>
        <w:rPr>
          <w:rFonts w:hint="default" w:ascii="Times New Roman" w:hAnsi="Times New Roman" w:eastAsia="仿宋" w:cs="Times New Roman"/>
          <w:color w:val="000000" w:themeColor="text1"/>
          <w:sz w:val="32"/>
          <w:szCs w:val="32"/>
          <w:highlight w:val="none"/>
          <w14:textFill>
            <w14:solidFill>
              <w14:schemeClr w14:val="tx1"/>
            </w14:solidFill>
          </w14:textFill>
        </w:rPr>
        <w:t>时或受试物对测定方法产生干扰时，需进行说明。无论采用哪种染毒方式，均应检测并记录动物呼吸区域的相对湿度，可在染毒4小时内至少记录3次或每小时记录一次。</w:t>
      </w:r>
    </w:p>
    <w:p>
      <w:pPr>
        <w:widowControl w:val="0"/>
        <w:adjustRightInd w:val="0"/>
        <w:snapToGrid w:val="0"/>
        <w:spacing w:line="360" w:lineRule="auto"/>
        <w:ind w:firstLine="643" w:firstLineChars="200"/>
        <w:jc w:val="left"/>
        <w:outlineLvl w:val="1"/>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pPr>
      <w:bookmarkStart w:id="42" w:name="_Toc121730513"/>
      <w:r>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t>（四）试验组别设置</w:t>
      </w:r>
      <w:bookmarkEnd w:id="42"/>
    </w:p>
    <w:p>
      <w:pPr>
        <w:spacing w:line="360" w:lineRule="auto"/>
        <w:ind w:firstLine="640" w:firstLineChars="200"/>
        <w:jc w:val="both"/>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pP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当使用的受试物</w:t>
      </w:r>
      <w:r>
        <w:rPr>
          <w:rFonts w:hint="eastAsia" w:eastAsia="仿宋" w:cs="Times New Roman"/>
          <w:color w:val="000000" w:themeColor="text1"/>
          <w:sz w:val="32"/>
          <w:szCs w:val="32"/>
          <w:highlight w:val="none"/>
          <w:lang w:val="en-US" w:eastAsia="zh-CN"/>
          <w14:textFill>
            <w14:solidFill>
              <w14:schemeClr w14:val="tx1"/>
            </w14:solidFill>
          </w14:textFill>
        </w:rPr>
        <w:t>溶媒载体</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及阴性</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仅吸入</w:t>
      </w:r>
      <w:r>
        <w:rPr>
          <w:rFonts w:hint="eastAsia" w:eastAsia="仿宋" w:cs="Times New Roman"/>
          <w:color w:val="000000" w:themeColor="text1"/>
          <w:sz w:val="32"/>
          <w:szCs w:val="32"/>
          <w:highlight w:val="none"/>
          <w:lang w:val="en-US" w:eastAsia="zh-CN"/>
          <w14:textFill>
            <w14:solidFill>
              <w14:schemeClr w14:val="tx1"/>
            </w14:solidFill>
          </w14:textFill>
        </w:rPr>
        <w:t>空气</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的</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有历史背景数据时，</w:t>
      </w:r>
      <w:r>
        <w:rPr>
          <w:rFonts w:hint="default" w:ascii="Times New Roman" w:hAnsi="Times New Roman" w:eastAsia="仿宋" w:cs="Times New Roman"/>
          <w:color w:val="000000" w:themeColor="text1"/>
          <w:sz w:val="32"/>
          <w:szCs w:val="32"/>
          <w:highlight w:val="none"/>
          <w14:textFill>
            <w14:solidFill>
              <w14:schemeClr w14:val="tx1"/>
            </w14:solidFill>
          </w14:textFill>
        </w:rPr>
        <w:t>一般不需要平行设置</w:t>
      </w:r>
      <w:r>
        <w:rPr>
          <w:rFonts w:hint="eastAsia" w:eastAsia="仿宋" w:cs="Times New Roman"/>
          <w:color w:val="000000" w:themeColor="text1"/>
          <w:sz w:val="32"/>
          <w:szCs w:val="32"/>
          <w:highlight w:val="none"/>
          <w:lang w:eastAsia="zh-CN"/>
          <w14:textFill>
            <w14:solidFill>
              <w14:schemeClr w14:val="tx1"/>
            </w14:solidFill>
          </w14:textFill>
        </w:rPr>
        <w:t>溶媒载体</w:t>
      </w:r>
      <w:r>
        <w:rPr>
          <w:rFonts w:hint="default" w:ascii="Times New Roman" w:hAnsi="Times New Roman" w:eastAsia="仿宋" w:cs="Times New Roman"/>
          <w:color w:val="000000" w:themeColor="text1"/>
          <w:sz w:val="32"/>
          <w:szCs w:val="32"/>
          <w:highlight w:val="none"/>
          <w14:textFill>
            <w14:solidFill>
              <w14:schemeClr w14:val="tx1"/>
            </w14:solidFill>
          </w14:textFill>
        </w:rPr>
        <w:t>对照组</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或</w:t>
      </w:r>
      <w:r>
        <w:rPr>
          <w:rFonts w:hint="default" w:ascii="Times New Roman" w:hAnsi="Times New Roman" w:eastAsia="仿宋" w:cs="Times New Roman"/>
          <w:color w:val="000000" w:themeColor="text1"/>
          <w:sz w:val="32"/>
          <w:szCs w:val="32"/>
          <w:highlight w:val="none"/>
          <w14:textFill>
            <w14:solidFill>
              <w14:schemeClr w14:val="tx1"/>
            </w14:solidFill>
          </w14:textFill>
        </w:rPr>
        <w:t>阴性（</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仅吸入</w:t>
      </w:r>
      <w:r>
        <w:rPr>
          <w:rFonts w:hint="eastAsia" w:eastAsia="仿宋" w:cs="Times New Roman"/>
          <w:color w:val="000000" w:themeColor="text1"/>
          <w:sz w:val="32"/>
          <w:szCs w:val="32"/>
          <w:highlight w:val="none"/>
          <w:lang w:val="en-US" w:eastAsia="zh-CN"/>
          <w14:textFill>
            <w14:solidFill>
              <w14:schemeClr w14:val="tx1"/>
            </w14:solidFill>
          </w14:textFill>
        </w:rPr>
        <w:t>空气</w:t>
      </w:r>
      <w:r>
        <w:rPr>
          <w:rFonts w:hint="default" w:ascii="Times New Roman" w:hAnsi="Times New Roman" w:eastAsia="仿宋" w:cs="Times New Roman"/>
          <w:color w:val="000000" w:themeColor="text1"/>
          <w:sz w:val="32"/>
          <w:szCs w:val="32"/>
          <w:highlight w:val="none"/>
          <w14:textFill>
            <w14:solidFill>
              <w14:schemeClr w14:val="tx1"/>
            </w14:solidFill>
          </w14:textFill>
        </w:rPr>
        <w:t>）对照组</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若</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所用溶媒制备的受试物没有引起毒性，至少说明在该受试物浓度的条件下，溶媒是没有毒性的，</w:t>
      </w:r>
      <w:r>
        <w:rPr>
          <w:rFonts w:hint="eastAsia" w:eastAsia="仿宋" w:cs="Times New Roman"/>
          <w:color w:val="000000" w:themeColor="text1"/>
          <w:sz w:val="32"/>
          <w:szCs w:val="32"/>
          <w:highlight w:val="none"/>
          <w:lang w:val="en-US" w:eastAsia="zh-CN"/>
          <w14:textFill>
            <w14:solidFill>
              <w14:schemeClr w14:val="tx1"/>
            </w14:solidFill>
          </w14:textFill>
        </w:rPr>
        <w:t>因此</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不需要设立溶媒对照组。</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正式试验一般设置4个固定染毒浓度，并由起始浓度开始染毒，起始浓度应能引起染毒组中某些动物出现毒性反应。然后根据每个染毒浓度组濒死或死亡动物数量，按照试验步骤图（见附录）的指示决定是否进行下一步试验，直到能对受试物做出毒性</w:t>
      </w:r>
      <w:r>
        <w:rPr>
          <w:rFonts w:hint="eastAsia" w:eastAsia="仿宋" w:cs="Times New Roman"/>
          <w:color w:val="000000" w:themeColor="text1"/>
          <w:sz w:val="32"/>
          <w:szCs w:val="32"/>
          <w:highlight w:val="none"/>
          <w:lang w:eastAsia="zh-CN"/>
          <w14:textFill>
            <w14:solidFill>
              <w14:schemeClr w14:val="tx1"/>
            </w14:solidFill>
          </w14:textFill>
        </w:rPr>
        <w:t>分类</w:t>
      </w:r>
      <w:r>
        <w:rPr>
          <w:rFonts w:hint="default" w:ascii="Times New Roman" w:hAnsi="Times New Roman" w:eastAsia="仿宋" w:cs="Times New Roman"/>
          <w:color w:val="000000" w:themeColor="text1"/>
          <w:sz w:val="32"/>
          <w:szCs w:val="32"/>
          <w:highlight w:val="none"/>
          <w14:textFill>
            <w14:solidFill>
              <w14:schemeClr w14:val="tx1"/>
            </w14:solidFill>
          </w14:textFill>
        </w:rPr>
        <w:t>时结束试验。</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当已知或预期受试物实际无毒时，如在超出</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管理</w:t>
      </w:r>
      <w:r>
        <w:rPr>
          <w:rFonts w:hint="default" w:ascii="Times New Roman" w:hAnsi="Times New Roman" w:eastAsia="仿宋" w:cs="Times New Roman"/>
          <w:color w:val="000000" w:themeColor="text1"/>
          <w:sz w:val="32"/>
          <w:szCs w:val="32"/>
          <w:highlight w:val="none"/>
          <w14:textFill>
            <w14:solidFill>
              <w14:schemeClr w14:val="tx1"/>
            </w14:solidFill>
          </w14:textFill>
        </w:rPr>
        <w:t>限值的染毒浓度下才引起毒性反应，可进行限度试验，否则应开展正式试验</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方法见附录</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。受试物毒性信息可参考类似的化合物或混合物，包括已知有毒理学意义的受试物特性和混合物成分的百分比。限度试验的染毒浓度（即极限浓度）设置为，气体受试物：20000 ppm</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蒸汽受试物：20 mg/L；粉尘/雾：5 mg/L（或技术上可达到的浓度）。大部分受试物气体可制备为2 mg/L浓度</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若</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制备的</w:t>
      </w:r>
      <w:r>
        <w:rPr>
          <w:rFonts w:hint="default" w:ascii="Times New Roman" w:hAnsi="Times New Roman" w:eastAsia="仿宋" w:cs="Times New Roman"/>
          <w:color w:val="000000" w:themeColor="text1"/>
          <w:sz w:val="32"/>
          <w:szCs w:val="32"/>
          <w:highlight w:val="none"/>
          <w14:textFill>
            <w14:solidFill>
              <w14:schemeClr w14:val="tx1"/>
            </w14:solidFill>
          </w14:textFill>
        </w:rPr>
        <w:t>气溶胶受试物高于2 mg/L浓度时，其粒径应达到可呼吸性粒子的尺寸（MMAD：1 μm</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4 μm）方可用于试验</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若</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技术上</w:t>
      </w:r>
      <w:r>
        <w:rPr>
          <w:rFonts w:hint="default" w:ascii="Times New Roman" w:hAnsi="Times New Roman" w:eastAsia="仿宋" w:cs="Times New Roman"/>
          <w:color w:val="000000" w:themeColor="text1"/>
          <w:sz w:val="32"/>
          <w:szCs w:val="32"/>
          <w:highlight w:val="none"/>
          <w14:textFill>
            <w14:solidFill>
              <w14:schemeClr w14:val="tx1"/>
            </w14:solidFill>
          </w14:textFill>
        </w:rPr>
        <w:t>无法达到，需由专家做出评判，并说明</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受试物</w:t>
      </w:r>
      <w:r>
        <w:rPr>
          <w:rFonts w:hint="default" w:ascii="Times New Roman" w:hAnsi="Times New Roman" w:eastAsia="仿宋" w:cs="Times New Roman"/>
          <w:color w:val="000000" w:themeColor="text1"/>
          <w:sz w:val="32"/>
          <w:szCs w:val="32"/>
          <w:highlight w:val="none"/>
          <w14:textFill>
            <w14:solidFill>
              <w14:schemeClr w14:val="tx1"/>
            </w14:solidFill>
          </w14:textFill>
        </w:rPr>
        <w:t>实际暴露时的</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浓度</w:t>
      </w:r>
      <w:r>
        <w:rPr>
          <w:rFonts w:hint="default" w:ascii="Times New Roman" w:hAnsi="Times New Roman" w:eastAsia="仿宋" w:cs="Times New Roman"/>
          <w:color w:val="000000" w:themeColor="text1"/>
          <w:sz w:val="32"/>
          <w:szCs w:val="32"/>
          <w:highlight w:val="none"/>
          <w14:textFill>
            <w14:solidFill>
              <w14:schemeClr w14:val="tx1"/>
            </w14:solidFill>
          </w14:textFill>
        </w:rPr>
        <w:t>及其原因</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从动物福利角度，不鼓励采用超过限度试验的染毒浓度下进行试验。只有当这种测试的结果很可能与保护人类健康直接相关</w:t>
      </w:r>
      <w:r>
        <w:rPr>
          <w:rFonts w:hint="eastAsia" w:eastAsia="仿宋" w:cs="Times New Roman"/>
          <w:color w:val="000000" w:themeColor="text1"/>
          <w:sz w:val="32"/>
          <w:szCs w:val="32"/>
          <w:highlight w:val="none"/>
          <w:lang w:val="en-US" w:eastAsia="zh-CN"/>
          <w14:textFill>
            <w14:solidFill>
              <w14:schemeClr w14:val="tx1"/>
            </w14:solidFill>
          </w14:textFill>
        </w:rPr>
        <w:t>时</w:t>
      </w:r>
      <w:r>
        <w:rPr>
          <w:rFonts w:hint="default" w:ascii="Times New Roman" w:hAnsi="Times New Roman" w:eastAsia="仿宋" w:cs="Times New Roman"/>
          <w:color w:val="000000" w:themeColor="text1"/>
          <w:sz w:val="32"/>
          <w:szCs w:val="32"/>
          <w:highlight w:val="none"/>
          <w14:textFill>
            <w14:solidFill>
              <w14:schemeClr w14:val="tx1"/>
            </w14:solidFill>
          </w14:textFill>
        </w:rPr>
        <w:t>才应考虑超过极限浓度</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并需要在报告中说明试验理由。对于可能引起爆炸的受试物，设计实验条件时需要慎重，以避免出现爆炸。为减少不必要的动物使用，在进行限度试验前，需不放置动物并测定装置内是否能达到限度试验的染毒浓度水平。</w:t>
      </w:r>
    </w:p>
    <w:p>
      <w:pPr>
        <w:widowControl w:val="0"/>
        <w:adjustRightInd w:val="0"/>
        <w:snapToGrid w:val="0"/>
        <w:spacing w:line="360" w:lineRule="auto"/>
        <w:ind w:firstLine="643" w:firstLineChars="200"/>
        <w:jc w:val="left"/>
        <w:outlineLvl w:val="1"/>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pPr>
      <w:bookmarkStart w:id="43" w:name="_Toc121730514"/>
      <w:r>
        <w:rPr>
          <w:rFonts w:hint="default" w:ascii="Times New Roman" w:hAnsi="Times New Roman" w:eastAsia="仿宋" w:cs="Times New Roman"/>
          <w:b/>
          <w:bCs w:val="0"/>
          <w:color w:val="000000" w:themeColor="text1"/>
          <w:kern w:val="0"/>
          <w:sz w:val="32"/>
          <w:szCs w:val="32"/>
          <w:highlight w:val="none"/>
          <w14:textFill>
            <w14:solidFill>
              <w14:schemeClr w14:val="tx1"/>
            </w14:solidFill>
          </w14:textFill>
        </w:rPr>
        <w:t>（五）观察与检测指标</w:t>
      </w:r>
      <w:bookmarkEnd w:id="43"/>
    </w:p>
    <w:p>
      <w:pPr>
        <w:spacing w:line="360" w:lineRule="auto"/>
        <w:ind w:firstLine="643" w:firstLineChars="200"/>
        <w:jc w:val="both"/>
        <w:outlineLvl w:val="1"/>
        <w:rPr>
          <w:rFonts w:hint="default" w:ascii="Times New Roman" w:hAnsi="Times New Roman" w:eastAsia="仿宋" w:cs="Times New Roman"/>
          <w:b/>
          <w:bCs/>
          <w:color w:val="000000" w:themeColor="text1"/>
          <w:sz w:val="32"/>
          <w:szCs w:val="32"/>
          <w:highlight w:val="none"/>
          <w14:textFill>
            <w14:solidFill>
              <w14:schemeClr w14:val="tx1"/>
            </w14:solidFill>
          </w14:textFill>
        </w:rPr>
      </w:pPr>
      <w:bookmarkStart w:id="44" w:name="_Toc121730515"/>
      <w:r>
        <w:rPr>
          <w:rFonts w:hint="default" w:ascii="Times New Roman" w:hAnsi="Times New Roman" w:eastAsia="仿宋" w:cs="Times New Roman"/>
          <w:b/>
          <w:bCs/>
          <w:color w:val="000000" w:themeColor="text1"/>
          <w:sz w:val="32"/>
          <w:szCs w:val="32"/>
          <w:highlight w:val="none"/>
          <w14:textFill>
            <w14:solidFill>
              <w14:schemeClr w14:val="tx1"/>
            </w14:solidFill>
          </w14:textFill>
        </w:rPr>
        <w:t>1. 笼旁观察</w:t>
      </w:r>
      <w:bookmarkEnd w:id="44"/>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染毒期间应密切对动物进行临床观察，</w:t>
      </w:r>
      <w:r>
        <w:rPr>
          <w:rFonts w:hint="eastAsia" w:eastAsia="仿宋" w:cs="Times New Roman"/>
          <w:color w:val="000000" w:themeColor="text1"/>
          <w:sz w:val="32"/>
          <w:szCs w:val="32"/>
          <w:highlight w:val="none"/>
          <w:lang w:val="en-US" w:eastAsia="zh-CN"/>
          <w14:textFill>
            <w14:solidFill>
              <w14:schemeClr w14:val="tx1"/>
            </w14:solidFill>
          </w14:textFill>
        </w:rPr>
        <w:t>并</w:t>
      </w:r>
      <w:r>
        <w:rPr>
          <w:rFonts w:hint="default" w:ascii="Times New Roman" w:hAnsi="Times New Roman" w:eastAsia="仿宋" w:cs="Times New Roman"/>
          <w:color w:val="000000" w:themeColor="text1"/>
          <w:sz w:val="32"/>
          <w:szCs w:val="32"/>
          <w:highlight w:val="none"/>
          <w14:textFill>
            <w14:solidFill>
              <w14:schemeClr w14:val="tx1"/>
            </w14:solidFill>
          </w14:textFill>
        </w:rPr>
        <w:t>系统地记录每只动物的所有临床观察结果。染毒结束后当日至少观察2次，根据动物的毒性反应可增加观察次数，染毒日之后的14天观察期内每日</w:t>
      </w:r>
      <w:r>
        <w:rPr>
          <w:rFonts w:hint="eastAsia" w:eastAsia="仿宋" w:cs="Times New Roman"/>
          <w:color w:val="000000" w:themeColor="text1"/>
          <w:sz w:val="32"/>
          <w:szCs w:val="32"/>
          <w:highlight w:val="none"/>
          <w:lang w:val="en-US" w:eastAsia="zh-CN"/>
          <w14:textFill>
            <w14:solidFill>
              <w14:schemeClr w14:val="tx1"/>
            </w14:solidFill>
          </w14:textFill>
        </w:rPr>
        <w:t>至少</w:t>
      </w:r>
      <w:r>
        <w:rPr>
          <w:rFonts w:hint="default" w:ascii="Times New Roman" w:hAnsi="Times New Roman" w:eastAsia="仿宋" w:cs="Times New Roman"/>
          <w:color w:val="000000" w:themeColor="text1"/>
          <w:sz w:val="32"/>
          <w:szCs w:val="32"/>
          <w:highlight w:val="none"/>
          <w14:textFill>
            <w14:solidFill>
              <w14:schemeClr w14:val="tx1"/>
            </w14:solidFill>
          </w14:textFill>
        </w:rPr>
        <w:t>观察1次。观察周期时长不是固定不变的，需要根据出现的临床症状的特点、时间以及恢复期的长短决定。毒性反应出现和消失的时间很重要，应特别注意是否存在毒性体征延迟的倾向。</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应对濒死、出现剧痛和/或持续疼痛的动物进行人道处死</w:t>
      </w:r>
      <w:r>
        <w:rPr>
          <w:rFonts w:hint="eastAsia" w:eastAsia="仿宋" w:cs="Times New Roman"/>
          <w:color w:val="000000" w:themeColor="text1"/>
          <w:sz w:val="32"/>
          <w:szCs w:val="32"/>
          <w:highlight w:val="none"/>
          <w:lang w:eastAsia="zh-CN"/>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并应</w:t>
      </w:r>
      <w:r>
        <w:rPr>
          <w:rFonts w:hint="eastAsia" w:eastAsia="仿宋" w:cs="Times New Roman"/>
          <w:color w:val="000000" w:themeColor="text1"/>
          <w:sz w:val="32"/>
          <w:szCs w:val="32"/>
          <w:highlight w:val="none"/>
          <w:lang w:eastAsia="zh-CN"/>
          <w14:textFill>
            <w14:solidFill>
              <w14:schemeClr w14:val="tx1"/>
            </w14:solidFill>
          </w14:textFill>
        </w:rPr>
        <w:t>在结果统计时与试验中死亡的动物一并对待</w:t>
      </w:r>
      <w:r>
        <w:rPr>
          <w:rFonts w:hint="default" w:ascii="Times New Roman" w:hAnsi="Times New Roman" w:eastAsia="仿宋" w:cs="Times New Roman"/>
          <w:color w:val="000000" w:themeColor="text1"/>
          <w:sz w:val="32"/>
          <w:szCs w:val="32"/>
          <w:highlight w:val="none"/>
          <w14:textFill>
            <w14:solidFill>
              <w14:schemeClr w14:val="tx1"/>
            </w14:solidFill>
          </w14:textFill>
        </w:rPr>
        <w:t>。注意对那些试验开始时因染毒操作而出现的微弱毒性体征和暂时性呼吸改变，与那些毒性体征进行区分。对动物死亡时间、濒死动物实施人道处死的时间应尽可能准确</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地</w:t>
      </w:r>
      <w:r>
        <w:rPr>
          <w:rFonts w:hint="default" w:ascii="Times New Roman" w:hAnsi="Times New Roman" w:eastAsia="仿宋" w:cs="Times New Roman"/>
          <w:color w:val="000000" w:themeColor="text1"/>
          <w:sz w:val="32"/>
          <w:szCs w:val="32"/>
          <w:highlight w:val="none"/>
          <w14:textFill>
            <w14:solidFill>
              <w14:schemeClr w14:val="tx1"/>
            </w14:solidFill>
          </w14:textFill>
        </w:rPr>
        <w:t>记录。</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笼旁观察指标包括动物皮肤和被毛、眼睛和黏膜、呼吸、循环和中枢神经系统、活动和行为方式等变化。尽可能记录所有局部和全身反应。应重点观察动物是否出现震颤、抽搐、流涎、腹泻、嗜睡和昏迷等毒性反应。对动物进行直肠内测温可提示因染毒或处于封闭空间而造成的反射性呼吸过缓或体温过低/过高。</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需待前一步染毒浓度组的动物存活状态完全确定后才可决定是否进行下一步试验，因此每一步骤观察时间的间隔应根据动物发生毒性反应的起始时间、持续时间和严重程度来决定。为观察到可能存在的迟发毒性反应，建议时间间隔设置为</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3</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4天</w:t>
      </w:r>
      <w:r>
        <w:rPr>
          <w:rFonts w:hint="default" w:ascii="Times New Roman" w:hAnsi="Times New Roman" w:eastAsia="仿宋" w:cs="Times New Roman"/>
          <w:color w:val="000000" w:themeColor="text1"/>
          <w:sz w:val="32"/>
          <w:szCs w:val="32"/>
          <w:highlight w:val="none"/>
          <w14:textFill>
            <w14:solidFill>
              <w14:schemeClr w14:val="tx1"/>
            </w14:solidFill>
          </w14:textFill>
        </w:rPr>
        <w:t>。如出现的反应无法得出结论，可适当调整观察时间间隔。</w:t>
      </w:r>
    </w:p>
    <w:p>
      <w:pPr>
        <w:spacing w:line="360" w:lineRule="auto"/>
        <w:ind w:firstLine="643" w:firstLineChars="200"/>
        <w:jc w:val="both"/>
        <w:outlineLvl w:val="1"/>
        <w:rPr>
          <w:rFonts w:hint="default" w:ascii="Times New Roman" w:hAnsi="Times New Roman" w:eastAsia="仿宋" w:cs="Times New Roman"/>
          <w:b/>
          <w:bCs/>
          <w:color w:val="000000" w:themeColor="text1"/>
          <w:sz w:val="32"/>
          <w:szCs w:val="32"/>
          <w:highlight w:val="none"/>
          <w14:textFill>
            <w14:solidFill>
              <w14:schemeClr w14:val="tx1"/>
            </w14:solidFill>
          </w14:textFill>
        </w:rPr>
      </w:pPr>
      <w:bookmarkStart w:id="45" w:name="_Toc121730516"/>
      <w:r>
        <w:rPr>
          <w:rFonts w:hint="default" w:ascii="Times New Roman" w:hAnsi="Times New Roman" w:eastAsia="仿宋" w:cs="Times New Roman"/>
          <w:b/>
          <w:bCs/>
          <w:color w:val="000000" w:themeColor="text1"/>
          <w:sz w:val="32"/>
          <w:szCs w:val="32"/>
          <w:highlight w:val="none"/>
          <w14:textFill>
            <w14:solidFill>
              <w14:schemeClr w14:val="tx1"/>
            </w14:solidFill>
          </w14:textFill>
        </w:rPr>
        <w:t>2. 体重变化</w:t>
      </w:r>
      <w:bookmarkEnd w:id="45"/>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每只动物应在检疫</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适应</w:t>
      </w:r>
      <w:r>
        <w:rPr>
          <w:rFonts w:hint="default" w:ascii="Times New Roman" w:hAnsi="Times New Roman" w:eastAsia="仿宋" w:cs="Times New Roman"/>
          <w:color w:val="000000" w:themeColor="text1"/>
          <w:sz w:val="32"/>
          <w:szCs w:val="32"/>
          <w:highlight w:val="none"/>
          <w14:textFill>
            <w14:solidFill>
              <w14:schemeClr w14:val="tx1"/>
            </w14:solidFill>
          </w14:textFill>
        </w:rPr>
        <w:t>期内称重1次，染毒当日（第0天）的染毒前、染毒后第1、3、7天分别称重1次，染毒第7天后每周1次，染毒第1天后死亡或进行人道处死的动物进行称重。体重变化是提示毒性的重要指标，对于体重持续低于染毒前体重20%的动物应给予密切观察。在染毒后观察期结束时仍存活的动物应称重后实施人道处死。</w:t>
      </w:r>
    </w:p>
    <w:p>
      <w:pPr>
        <w:spacing w:line="360" w:lineRule="auto"/>
        <w:ind w:firstLine="643" w:firstLineChars="200"/>
        <w:jc w:val="both"/>
        <w:outlineLvl w:val="1"/>
        <w:rPr>
          <w:rFonts w:hint="default" w:ascii="Times New Roman" w:hAnsi="Times New Roman" w:eastAsia="仿宋" w:cs="Times New Roman"/>
          <w:b/>
          <w:bCs/>
          <w:color w:val="000000" w:themeColor="text1"/>
          <w:sz w:val="32"/>
          <w:szCs w:val="32"/>
          <w:highlight w:val="none"/>
          <w14:textFill>
            <w14:solidFill>
              <w14:schemeClr w14:val="tx1"/>
            </w14:solidFill>
          </w14:textFill>
        </w:rPr>
      </w:pPr>
      <w:bookmarkStart w:id="46" w:name="_Toc121730517"/>
      <w:r>
        <w:rPr>
          <w:rFonts w:hint="default" w:ascii="Times New Roman" w:hAnsi="Times New Roman" w:eastAsia="仿宋" w:cs="Times New Roman"/>
          <w:b/>
          <w:bCs/>
          <w:color w:val="000000" w:themeColor="text1"/>
          <w:sz w:val="32"/>
          <w:szCs w:val="32"/>
          <w:highlight w:val="none"/>
          <w14:textFill>
            <w14:solidFill>
              <w14:schemeClr w14:val="tx1"/>
            </w14:solidFill>
          </w14:textFill>
        </w:rPr>
        <w:t>3. 病理学检查</w:t>
      </w:r>
      <w:bookmarkEnd w:id="46"/>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所有在试验期间死亡或实施人道处死的动物应立即进行大体解剖检查。若无法及时进行剖检，应将动物尸体及时放入低温冰箱冷藏（而非冷冻）以免发生自溶。应在动物死亡后</w:t>
      </w:r>
      <w:r>
        <w:rPr>
          <w:rFonts w:hint="eastAsia" w:eastAsia="仿宋" w:cs="Times New Roman"/>
          <w:color w:val="000000" w:themeColor="text1"/>
          <w:sz w:val="32"/>
          <w:szCs w:val="32"/>
          <w:highlight w:val="none"/>
          <w:lang w:eastAsia="zh-CN"/>
          <w14:textFill>
            <w14:solidFill>
              <w14:schemeClr w14:val="tx1"/>
            </w14:solidFill>
          </w14:textFill>
        </w:rPr>
        <w:t>1～2天</w:t>
      </w:r>
      <w:r>
        <w:rPr>
          <w:rFonts w:hint="default" w:ascii="Times New Roman" w:hAnsi="Times New Roman" w:eastAsia="仿宋" w:cs="Times New Roman"/>
          <w:color w:val="000000" w:themeColor="text1"/>
          <w:sz w:val="32"/>
          <w:szCs w:val="32"/>
          <w:highlight w:val="none"/>
          <w14:textFill>
            <w14:solidFill>
              <w14:schemeClr w14:val="tx1"/>
            </w14:solidFill>
          </w14:textFill>
        </w:rPr>
        <w:t>内及时对尸体进行剖检。应对每只动物所有大体病理学改变进行记录，特别关注呼吸道出现的任何病理学改变。</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可设置其他有助于解释试验结果的检查指标，例如称量存活动物的肺部脏器重量和/或对呼吸道进行显微镜标本观察有助于提示受试物对呼吸道的刺激性。对于存活24小时及以上的动物出现大体病理学改变的器官</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，或者</w:t>
      </w:r>
      <w:r>
        <w:rPr>
          <w:rFonts w:hint="default" w:ascii="Times New Roman" w:hAnsi="Times New Roman" w:eastAsia="仿宋" w:cs="Times New Roman"/>
          <w:color w:val="000000" w:themeColor="text1"/>
          <w:sz w:val="32"/>
          <w:szCs w:val="32"/>
          <w:highlight w:val="none"/>
          <w14:textFill>
            <w14:solidFill>
              <w14:schemeClr w14:val="tx1"/>
            </w14:solidFill>
          </w14:textFill>
        </w:rPr>
        <w:t>已知或预期可能受到影响的器官，均应进行病理学检查。对整个呼吸道进行显微镜标本</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观察</w:t>
      </w:r>
      <w:r>
        <w:rPr>
          <w:rFonts w:hint="default" w:ascii="Times New Roman" w:hAnsi="Times New Roman" w:eastAsia="仿宋" w:cs="Times New Roman"/>
          <w:color w:val="000000" w:themeColor="text1"/>
          <w:sz w:val="32"/>
          <w:szCs w:val="32"/>
          <w:highlight w:val="none"/>
          <w14:textFill>
            <w14:solidFill>
              <w14:schemeClr w14:val="tx1"/>
            </w14:solidFill>
          </w14:textFill>
        </w:rPr>
        <w:t>可提示受试物是否与水分发生反应，例如吸湿性受试物与酸发生反应。</w:t>
      </w:r>
    </w:p>
    <w:p>
      <w:pPr>
        <w:widowControl/>
        <w:spacing w:line="360" w:lineRule="auto"/>
        <w:ind w:firstLine="640" w:firstLineChars="200"/>
        <w:jc w:val="both"/>
        <w:outlineLvl w:val="9"/>
        <w:rPr>
          <w:rFonts w:hint="default" w:ascii="Times New Roman" w:hAnsi="Times New Roman" w:eastAsia="黑体" w:cs="Times New Roman"/>
          <w:b w:val="0"/>
          <w:bCs/>
          <w:color w:val="000000" w:themeColor="text1"/>
          <w:sz w:val="32"/>
          <w:szCs w:val="32"/>
          <w:highlight w:val="none"/>
          <w14:textFill>
            <w14:solidFill>
              <w14:schemeClr w14:val="tx1"/>
            </w14:solidFill>
          </w14:textFill>
        </w:rPr>
      </w:pPr>
      <w:bookmarkStart w:id="47" w:name="_Toc121730518"/>
      <w:r>
        <w:rPr>
          <w:rFonts w:hint="default" w:ascii="Times New Roman" w:hAnsi="Times New Roman" w:eastAsia="黑体" w:cs="Times New Roman"/>
          <w:b w:val="0"/>
          <w:bCs/>
          <w:color w:val="000000" w:themeColor="text1"/>
          <w:sz w:val="32"/>
          <w:szCs w:val="32"/>
          <w:highlight w:val="none"/>
          <w:lang w:val="en-US" w:eastAsia="zh-CN"/>
          <w14:textFill>
            <w14:solidFill>
              <w14:schemeClr w14:val="tx1"/>
            </w14:solidFill>
          </w14:textFill>
        </w:rPr>
        <w:t>四、</w:t>
      </w:r>
      <w:r>
        <w:rPr>
          <w:rFonts w:hint="default" w:ascii="Times New Roman" w:hAnsi="Times New Roman" w:eastAsia="黑体" w:cs="Times New Roman"/>
          <w:b w:val="0"/>
          <w:bCs/>
          <w:color w:val="000000" w:themeColor="text1"/>
          <w:sz w:val="32"/>
          <w:szCs w:val="32"/>
          <w:highlight w:val="none"/>
          <w14:textFill>
            <w14:solidFill>
              <w14:schemeClr w14:val="tx1"/>
            </w14:solidFill>
          </w14:textFill>
        </w:rPr>
        <w:t>结果分析与评价</w:t>
      </w:r>
      <w:bookmarkEnd w:id="47"/>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 xml:space="preserve">实验记录应包括每只动物体重和大体剖检结果。对临床观察的数据进行总结并以表格形式体现，内容包括：每组动物数量、出现毒性体征的动物数量、死亡或被实施人道处死的动物数量，每只动物死亡时间，对毒性反应及其是否可逆的详细表述并记录时程，以及大体解剖检查结果。试验报告需包括的信息请见附录： </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全部试验由4个固定浓度中的起始浓度开始染毒（起始浓度应能引起染毒组中某些动物出现毒性反应），根据每个染毒浓度组濒死或死亡动物数量，按照试验步骤图（见附录）的指示决定是否进行下一步试验，直到能对受试物做出毒性</w:t>
      </w:r>
      <w:r>
        <w:rPr>
          <w:rFonts w:hint="eastAsia" w:eastAsia="仿宋" w:cs="Times New Roman"/>
          <w:color w:val="000000" w:themeColor="text1"/>
          <w:sz w:val="32"/>
          <w:szCs w:val="32"/>
          <w:highlight w:val="none"/>
          <w:lang w:eastAsia="zh-CN"/>
          <w14:textFill>
            <w14:solidFill>
              <w14:schemeClr w14:val="tx1"/>
            </w14:solidFill>
          </w14:textFill>
        </w:rPr>
        <w:t>分类</w:t>
      </w:r>
      <w:r>
        <w:rPr>
          <w:rFonts w:hint="default" w:ascii="Times New Roman" w:hAnsi="Times New Roman" w:eastAsia="仿宋" w:cs="Times New Roman"/>
          <w:color w:val="000000" w:themeColor="text1"/>
          <w:sz w:val="32"/>
          <w:szCs w:val="32"/>
          <w:highlight w:val="none"/>
          <w14:textFill>
            <w14:solidFill>
              <w14:schemeClr w14:val="tx1"/>
            </w14:solidFill>
          </w14:textFill>
        </w:rPr>
        <w:t>时结束试验。</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气体、蒸汽和气溶胶受试物的每一步试验所设置染毒浓度代表</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第</w:t>
      </w:r>
      <w:r>
        <w:rPr>
          <w:rFonts w:hint="default" w:ascii="Times New Roman" w:hAnsi="Times New Roman" w:eastAsia="仿宋" w:cs="Times New Roman"/>
          <w:color w:val="000000" w:themeColor="text1"/>
          <w:sz w:val="32"/>
          <w:szCs w:val="32"/>
          <w:highlight w:val="none"/>
          <w14:textFill>
            <w14:solidFill>
              <w14:schemeClr w14:val="tx1"/>
            </w14:solidFill>
          </w14:textFill>
        </w:rPr>
        <w:t>1</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4类的</w:t>
      </w:r>
      <w:r>
        <w:rPr>
          <w:rFonts w:hint="eastAsia" w:eastAsia="仿宋" w:cs="Times New Roman"/>
          <w:color w:val="000000" w:themeColor="text1"/>
          <w:sz w:val="32"/>
          <w:szCs w:val="32"/>
          <w:highlight w:val="none"/>
          <w:lang w:eastAsia="zh-CN"/>
          <w14:textFill>
            <w14:solidFill>
              <w14:schemeClr w14:val="tx1"/>
            </w14:solidFill>
          </w14:textFill>
        </w:rPr>
        <w:t>分类</w:t>
      </w:r>
      <w:r>
        <w:rPr>
          <w:rFonts w:hint="default" w:ascii="Times New Roman" w:hAnsi="Times New Roman" w:eastAsia="仿宋" w:cs="Times New Roman"/>
          <w:color w:val="000000" w:themeColor="text1"/>
          <w:sz w:val="32"/>
          <w:szCs w:val="32"/>
          <w:highlight w:val="none"/>
          <w14:textFill>
            <w14:solidFill>
              <w14:schemeClr w14:val="tx1"/>
            </w14:solidFill>
          </w14:textFill>
        </w:rPr>
        <w:t>标准的界限值。如下表所示：</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161"/>
        <w:gridCol w:w="1161"/>
        <w:gridCol w:w="1161"/>
        <w:gridCol w:w="1161"/>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0" w:type="auto"/>
            <w:noWrap w:val="0"/>
            <w:vAlign w:val="top"/>
          </w:tcPr>
          <w:p>
            <w:pPr>
              <w:spacing w:line="360" w:lineRule="auto"/>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p>
        </w:tc>
        <w:tc>
          <w:tcPr>
            <w:tcW w:w="0" w:type="auto"/>
            <w:gridSpan w:val="5"/>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染毒浓度（</w:t>
            </w: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ppm</w:t>
            </w:r>
            <w:r>
              <w:rPr>
                <w:rFonts w:hint="default" w:ascii="Times New Roman" w:hAnsi="Times New Roman" w:eastAsia="仿宋" w:cs="Times New Roman"/>
                <w:color w:val="000000" w:themeColor="text1"/>
                <w:sz w:val="32"/>
                <w:szCs w:val="32"/>
                <w:highlight w:val="none"/>
                <w14:textFill>
                  <w14:solidFill>
                    <w14:schemeClr w14:val="tx1"/>
                  </w14:solidFill>
                </w14:textFill>
              </w:rPr>
              <w:t>/4</w:t>
            </w:r>
            <w:r>
              <w:rPr>
                <w:rFonts w:hint="eastAsia" w:eastAsia="仿宋" w:cs="Times New Roman"/>
                <w:color w:val="000000" w:themeColor="text1"/>
                <w:sz w:val="32"/>
                <w:szCs w:val="32"/>
                <w:highlight w:val="none"/>
                <w:lang w:val="en-US" w:eastAsia="zh-CN"/>
                <w14:textFill>
                  <w14:solidFill>
                    <w14:schemeClr w14:val="tx1"/>
                  </w14:solidFill>
                </w14:textFill>
              </w:rPr>
              <w:t xml:space="preserve"> h</w:t>
            </w:r>
            <w:r>
              <w:rPr>
                <w:rFonts w:hint="default" w:ascii="Times New Roman" w:hAnsi="Times New Roman" w:eastAsia="仿宋" w:cs="Times New Roman"/>
                <w:color w:val="000000" w:themeColor="text1"/>
                <w:sz w:val="32"/>
                <w:szCs w:val="32"/>
                <w:highlight w:val="none"/>
                <w:vertAlign w:val="baseline"/>
                <w:lang w:val="en-US" w:eastAsia="zh-CN"/>
                <w14:textFill>
                  <w14:solidFill>
                    <w14:schemeClr w14:val="tx1"/>
                  </w14:solidFill>
                </w14:textFill>
              </w:rPr>
              <w:t>或mg/L</w:t>
            </w:r>
            <w:r>
              <w:rPr>
                <w:rFonts w:hint="default" w:ascii="Times New Roman" w:hAnsi="Times New Roman" w:eastAsia="仿宋" w:cs="Times New Roman"/>
                <w:color w:val="000000" w:themeColor="text1"/>
                <w:sz w:val="32"/>
                <w:szCs w:val="32"/>
                <w:highlight w:val="none"/>
                <w14:textFill>
                  <w14:solidFill>
                    <w14:schemeClr w14:val="tx1"/>
                  </w14:solidFill>
                </w14:textFill>
              </w:rPr>
              <w:t>/4</w:t>
            </w:r>
            <w:r>
              <w:rPr>
                <w:rFonts w:hint="eastAsia" w:eastAsia="仿宋" w:cs="Times New Roman"/>
                <w:color w:val="000000" w:themeColor="text1"/>
                <w:sz w:val="32"/>
                <w:szCs w:val="32"/>
                <w:highlight w:val="none"/>
                <w:lang w:val="en-US" w:eastAsia="zh-CN"/>
                <w14:textFill>
                  <w14:solidFill>
                    <w14:schemeClr w14:val="tx1"/>
                  </w14:solidFill>
                </w14:textFill>
              </w:rPr>
              <w:t xml:space="preserve"> h</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p>
        </w:tc>
        <w:tc>
          <w:tcPr>
            <w:tcW w:w="0" w:type="auto"/>
            <w:noWrap w:val="0"/>
            <w:vAlign w:val="top"/>
          </w:tcPr>
          <w:p>
            <w:pPr>
              <w:spacing w:line="360" w:lineRule="auto"/>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第</w:t>
            </w:r>
            <w:r>
              <w:rPr>
                <w:rFonts w:hint="default" w:ascii="Times New Roman" w:hAnsi="Times New Roman" w:eastAsia="仿宋" w:cs="Times New Roman"/>
                <w:color w:val="000000" w:themeColor="text1"/>
                <w:sz w:val="32"/>
                <w:szCs w:val="32"/>
                <w:highlight w:val="none"/>
                <w14:textFill>
                  <w14:solidFill>
                    <w14:schemeClr w14:val="tx1"/>
                  </w14:solidFill>
                </w14:textFill>
              </w:rPr>
              <w:t>1类</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第</w:t>
            </w:r>
            <w:r>
              <w:rPr>
                <w:rFonts w:hint="default" w:ascii="Times New Roman" w:hAnsi="Times New Roman" w:eastAsia="仿宋" w:cs="Times New Roman"/>
                <w:color w:val="000000" w:themeColor="text1"/>
                <w:sz w:val="32"/>
                <w:szCs w:val="32"/>
                <w:highlight w:val="none"/>
                <w14:textFill>
                  <w14:solidFill>
                    <w14:schemeClr w14:val="tx1"/>
                  </w14:solidFill>
                </w14:textFill>
              </w:rPr>
              <w:t>2类</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第</w:t>
            </w:r>
            <w:r>
              <w:rPr>
                <w:rFonts w:hint="default" w:ascii="Times New Roman" w:hAnsi="Times New Roman" w:eastAsia="仿宋" w:cs="Times New Roman"/>
                <w:color w:val="000000" w:themeColor="text1"/>
                <w:sz w:val="32"/>
                <w:szCs w:val="32"/>
                <w:highlight w:val="none"/>
                <w14:textFill>
                  <w14:solidFill>
                    <w14:schemeClr w14:val="tx1"/>
                  </w14:solidFill>
                </w14:textFill>
              </w:rPr>
              <w:t>3类</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第</w:t>
            </w:r>
            <w:r>
              <w:rPr>
                <w:rFonts w:hint="default" w:ascii="Times New Roman" w:hAnsi="Times New Roman" w:eastAsia="仿宋" w:cs="Times New Roman"/>
                <w:color w:val="000000" w:themeColor="text1"/>
                <w:sz w:val="32"/>
                <w:szCs w:val="32"/>
                <w:highlight w:val="none"/>
                <w14:textFill>
                  <w14:solidFill>
                    <w14:schemeClr w14:val="tx1"/>
                  </w14:solidFill>
                </w14:textFill>
              </w:rPr>
              <w:t>4类</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第</w:t>
            </w:r>
            <w:r>
              <w:rPr>
                <w:rFonts w:hint="default" w:ascii="Times New Roman" w:hAnsi="Times New Roman" w:eastAsia="仿宋" w:cs="Times New Roman"/>
                <w:color w:val="000000" w:themeColor="text1"/>
                <w:sz w:val="32"/>
                <w:szCs w:val="32"/>
                <w:highlight w:val="none"/>
                <w14:textFill>
                  <w14:solidFill>
                    <w14:schemeClr w14:val="tx1"/>
                  </w14:solidFill>
                </w14:textFill>
              </w:rPr>
              <w:t>5类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气体</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100</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500</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2500</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20000</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蒸汽</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0.5</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10</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20</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气溶胶</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0.05</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0.5</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w:t>
            </w:r>
          </w:p>
        </w:tc>
        <w:tc>
          <w:tcPr>
            <w:tcW w:w="0" w:type="auto"/>
            <w:noWrap w:val="0"/>
            <w:vAlign w:val="top"/>
          </w:tcPr>
          <w:p>
            <w:pPr>
              <w:spacing w:line="360" w:lineRule="auto"/>
              <w:jc w:val="center"/>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＞5</w:t>
            </w:r>
          </w:p>
        </w:tc>
      </w:tr>
    </w:tbl>
    <w:p>
      <w:pPr>
        <w:spacing w:line="360" w:lineRule="auto"/>
        <w:jc w:val="both"/>
        <w:rPr>
          <w:rFonts w:hint="default" w:ascii="Times New Roman" w:hAnsi="Times New Roman" w:eastAsia="仿宋" w:cs="Times New Roman"/>
          <w:color w:val="000000" w:themeColor="text1"/>
          <w:sz w:val="28"/>
          <w:szCs w:val="28"/>
          <w:highlight w:val="none"/>
          <w14:textFill>
            <w14:solidFill>
              <w14:schemeClr w14:val="tx1"/>
            </w14:solidFill>
          </w14:textFill>
        </w:rPr>
      </w:pPr>
      <w:r>
        <w:rPr>
          <w:rFonts w:hint="default" w:ascii="Times New Roman" w:hAnsi="Times New Roman" w:eastAsia="仿宋" w:cs="Times New Roman"/>
          <w:color w:val="000000" w:themeColor="text1"/>
          <w:sz w:val="28"/>
          <w:szCs w:val="28"/>
          <w:highlight w:val="none"/>
          <w14:textFill>
            <w14:solidFill>
              <w14:schemeClr w14:val="tx1"/>
            </w14:solidFill>
          </w14:textFill>
        </w:rPr>
        <w:t>注：当染毒浓度达到各物相的固定浓度上限时仍未出现濒死或死亡动物则归为</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第</w:t>
      </w:r>
      <w:r>
        <w:rPr>
          <w:rFonts w:hint="default" w:ascii="Times New Roman" w:hAnsi="Times New Roman" w:eastAsia="仿宋" w:cs="Times New Roman"/>
          <w:color w:val="000000" w:themeColor="text1"/>
          <w:sz w:val="28"/>
          <w:szCs w:val="28"/>
          <w:highlight w:val="none"/>
          <w14:textFill>
            <w14:solidFill>
              <w14:schemeClr w14:val="tx1"/>
            </w14:solidFill>
          </w14:textFill>
        </w:rPr>
        <w:t>5类。</w:t>
      </w:r>
    </w:p>
    <w:p>
      <w:pPr>
        <w:spacing w:line="360" w:lineRule="auto"/>
        <w:ind w:firstLine="640" w:firstLineChars="200"/>
        <w:jc w:val="both"/>
        <w:outlineLvl w:val="9"/>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急性吸入毒性试验 急性毒性</w:t>
      </w:r>
      <w:r>
        <w:rPr>
          <w:rFonts w:hint="eastAsia" w:eastAsia="仿宋" w:cs="Times New Roman"/>
          <w:color w:val="000000" w:themeColor="text1"/>
          <w:sz w:val="32"/>
          <w:szCs w:val="32"/>
          <w:highlight w:val="none"/>
          <w:lang w:eastAsia="zh-CN"/>
          <w14:textFill>
            <w14:solidFill>
              <w14:schemeClr w14:val="tx1"/>
            </w14:solidFill>
          </w14:textFill>
        </w:rPr>
        <w:t>分类法</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可通过短时间的吸入暴露染毒提供受试物对呼吸系统的健康危害信息。作为识别存在吸入暴露可能性的</w:t>
      </w:r>
      <w:r>
        <w:rPr>
          <w:rFonts w:hint="default" w:ascii="Times New Roman" w:hAnsi="Times New Roman" w:eastAsia="仿宋" w:cs="Times New Roman"/>
          <w:color w:val="000000" w:themeColor="text1"/>
          <w:sz w:val="32"/>
          <w:szCs w:val="32"/>
          <w:highlight w:val="none"/>
          <w14:textFill>
            <w14:solidFill>
              <w14:schemeClr w14:val="tx1"/>
            </w14:solidFill>
          </w14:textFill>
        </w:rPr>
        <w:t>化妆品原料</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吸入</w:t>
      </w:r>
      <w:r>
        <w:rPr>
          <w:rFonts w:hint="default" w:ascii="Times New Roman" w:hAnsi="Times New Roman" w:eastAsia="仿宋" w:cs="Times New Roman"/>
          <w:color w:val="000000" w:themeColor="text1"/>
          <w:sz w:val="32"/>
          <w:szCs w:val="32"/>
          <w:highlight w:val="none"/>
          <w14:textFill>
            <w14:solidFill>
              <w14:schemeClr w14:val="tx1"/>
            </w14:solidFill>
          </w14:textFill>
        </w:rPr>
        <w:t>毒性特性的第一步，</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试验结果可提供受试物急性吸入</w:t>
      </w:r>
      <w:r>
        <w:rPr>
          <w:rFonts w:hint="default" w:ascii="Times New Roman" w:hAnsi="Times New Roman" w:eastAsia="仿宋" w:cs="Times New Roman"/>
          <w:color w:val="000000" w:themeColor="text1"/>
          <w:sz w:val="32"/>
          <w:szCs w:val="32"/>
          <w:highlight w:val="none"/>
          <w14:textFill>
            <w14:solidFill>
              <w14:schemeClr w14:val="tx1"/>
            </w14:solidFill>
          </w14:textFill>
        </w:rPr>
        <w:t>毒性</w:t>
      </w:r>
      <w:r>
        <w:rPr>
          <w:rFonts w:hint="eastAsia" w:eastAsia="仿宋" w:cs="Times New Roman"/>
          <w:color w:val="000000" w:themeColor="text1"/>
          <w:sz w:val="32"/>
          <w:szCs w:val="32"/>
          <w:highlight w:val="none"/>
          <w:lang w:eastAsia="zh-CN"/>
          <w14:textFill>
            <w14:solidFill>
              <w14:schemeClr w14:val="tx1"/>
            </w14:solidFill>
          </w14:textFill>
        </w:rPr>
        <w:t>分类</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以及确定</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28天/90天重复吸入染毒及</w:t>
      </w:r>
      <w:r>
        <w:rPr>
          <w:rFonts w:hint="default" w:ascii="Times New Roman" w:hAnsi="Times New Roman" w:eastAsia="仿宋" w:cs="Times New Roman"/>
          <w:color w:val="000000" w:themeColor="text1"/>
          <w:sz w:val="32"/>
          <w:szCs w:val="32"/>
          <w:highlight w:val="none"/>
          <w14:textFill>
            <w14:solidFill>
              <w14:schemeClr w14:val="tx1"/>
            </w14:solidFill>
          </w14:textFill>
        </w:rPr>
        <w:t>其他</w:t>
      </w:r>
      <w:r>
        <w:rPr>
          <w:rFonts w:hint="eastAsia" w:eastAsia="仿宋" w:cs="Times New Roman"/>
          <w:color w:val="000000" w:themeColor="text1"/>
          <w:sz w:val="32"/>
          <w:szCs w:val="32"/>
          <w:highlight w:val="none"/>
          <w:lang w:val="en-US" w:eastAsia="zh-CN"/>
          <w14:textFill>
            <w14:solidFill>
              <w14:schemeClr w14:val="tx1"/>
            </w14:solidFill>
          </w14:textFill>
        </w:rPr>
        <w:t>相关</w:t>
      </w:r>
      <w:r>
        <w:rPr>
          <w:rFonts w:hint="default" w:ascii="Times New Roman" w:hAnsi="Times New Roman" w:eastAsia="仿宋" w:cs="Times New Roman"/>
          <w:color w:val="000000" w:themeColor="text1"/>
          <w:sz w:val="32"/>
          <w:szCs w:val="32"/>
          <w:highlight w:val="none"/>
          <w14:textFill>
            <w14:solidFill>
              <w14:schemeClr w14:val="tx1"/>
            </w14:solidFill>
          </w14:textFill>
        </w:rPr>
        <w:t>毒理</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学</w:t>
      </w:r>
      <w:r>
        <w:rPr>
          <w:rFonts w:hint="default" w:ascii="Times New Roman" w:hAnsi="Times New Roman" w:eastAsia="仿宋" w:cs="Times New Roman"/>
          <w:color w:val="000000" w:themeColor="text1"/>
          <w:sz w:val="32"/>
          <w:szCs w:val="32"/>
          <w:highlight w:val="none"/>
          <w14:textFill>
            <w14:solidFill>
              <w14:schemeClr w14:val="tx1"/>
            </w14:solidFill>
          </w14:textFill>
        </w:rPr>
        <w:t>试验</w:t>
      </w:r>
      <w:r>
        <w:rPr>
          <w:rFonts w:hint="eastAsia" w:eastAsia="仿宋" w:cs="Times New Roman"/>
          <w:color w:val="000000" w:themeColor="text1"/>
          <w:sz w:val="32"/>
          <w:szCs w:val="32"/>
          <w:highlight w:val="none"/>
          <w:lang w:val="en-US" w:eastAsia="zh-CN"/>
          <w14:textFill>
            <w14:solidFill>
              <w14:schemeClr w14:val="tx1"/>
            </w14:solidFill>
          </w14:textFill>
        </w:rPr>
        <w:t>设计和</w:t>
      </w:r>
      <w:r>
        <w:rPr>
          <w:rFonts w:hint="default" w:ascii="Times New Roman" w:hAnsi="Times New Roman" w:eastAsia="仿宋" w:cs="Times New Roman"/>
          <w:color w:val="000000" w:themeColor="text1"/>
          <w:sz w:val="32"/>
          <w:szCs w:val="32"/>
          <w:highlight w:val="none"/>
          <w14:textFill>
            <w14:solidFill>
              <w14:schemeClr w14:val="tx1"/>
            </w14:solidFill>
          </w14:textFill>
        </w:rPr>
        <w:t>剂量</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选择</w:t>
      </w:r>
      <w:r>
        <w:rPr>
          <w:rFonts w:hint="default" w:ascii="Times New Roman" w:hAnsi="Times New Roman" w:eastAsia="仿宋" w:cs="Times New Roman"/>
          <w:color w:val="000000" w:themeColor="text1"/>
          <w:sz w:val="32"/>
          <w:szCs w:val="32"/>
          <w:highlight w:val="none"/>
          <w14:textFill>
            <w14:solidFill>
              <w14:schemeClr w14:val="tx1"/>
            </w14:solidFill>
          </w14:textFill>
        </w:rPr>
        <w:t>的依据</w:t>
      </w:r>
      <w:r>
        <w:rPr>
          <w:rFonts w:hint="eastAsia" w:eastAsia="仿宋" w:cs="Times New Roman"/>
          <w:color w:val="000000" w:themeColor="text1"/>
          <w:sz w:val="32"/>
          <w:szCs w:val="32"/>
          <w:highlight w:val="none"/>
          <w:lang w:val="en-US" w:eastAsia="zh-CN"/>
          <w14:textFill>
            <w14:solidFill>
              <w14:schemeClr w14:val="tx1"/>
            </w14:solidFill>
          </w14:textFill>
        </w:rPr>
        <w:t>之一</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widowControl/>
        <w:spacing w:line="360" w:lineRule="auto"/>
        <w:ind w:firstLine="640" w:firstLineChars="200"/>
        <w:jc w:val="both"/>
        <w:outlineLvl w:val="9"/>
        <w:rPr>
          <w:rFonts w:hint="default" w:ascii="Times New Roman" w:hAnsi="Times New Roman" w:eastAsia="黑体" w:cs="Times New Roman"/>
          <w:b w:val="0"/>
          <w:bCs/>
          <w:color w:val="000000" w:themeColor="text1"/>
          <w:sz w:val="32"/>
          <w:szCs w:val="32"/>
          <w:highlight w:val="none"/>
          <w14:textFill>
            <w14:solidFill>
              <w14:schemeClr w14:val="tx1"/>
            </w14:solidFill>
          </w14:textFill>
        </w:rPr>
      </w:pPr>
      <w:bookmarkStart w:id="48" w:name="_Toc121730519"/>
      <w:r>
        <w:rPr>
          <w:rFonts w:hint="default" w:ascii="Times New Roman" w:hAnsi="Times New Roman" w:eastAsia="黑体" w:cs="Times New Roman"/>
          <w:b w:val="0"/>
          <w:bCs/>
          <w:color w:val="000000" w:themeColor="text1"/>
          <w:sz w:val="32"/>
          <w:szCs w:val="32"/>
          <w:highlight w:val="none"/>
          <w:lang w:val="en-US" w:eastAsia="zh-CN"/>
          <w14:textFill>
            <w14:solidFill>
              <w14:schemeClr w14:val="tx1"/>
            </w14:solidFill>
          </w14:textFill>
        </w:rPr>
        <w:t>五</w:t>
      </w:r>
      <w:r>
        <w:rPr>
          <w:rFonts w:hint="default" w:ascii="Times New Roman" w:hAnsi="Times New Roman" w:eastAsia="黑体" w:cs="Times New Roman"/>
          <w:b w:val="0"/>
          <w:bCs/>
          <w:color w:val="000000" w:themeColor="text1"/>
          <w:sz w:val="32"/>
          <w:szCs w:val="32"/>
          <w:highlight w:val="none"/>
          <w14:textFill>
            <w14:solidFill>
              <w14:schemeClr w14:val="tx1"/>
            </w14:solidFill>
          </w14:textFill>
        </w:rPr>
        <w:t>、参考文献</w:t>
      </w:r>
      <w:bookmarkEnd w:id="48"/>
    </w:p>
    <w:p>
      <w:pPr>
        <w:spacing w:line="360" w:lineRule="auto"/>
        <w:ind w:firstLine="0" w:firstLineChars="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1. United Nations Globally Harmonized System of Classification and Labelling of Chemicals (GHS), ST/SG/AC.10/30, UN New York and Geneva.</w:t>
      </w:r>
    </w:p>
    <w:p>
      <w:pPr>
        <w:spacing w:line="360" w:lineRule="auto"/>
        <w:ind w:firstLine="0" w:firstLineChars="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 xml:space="preserve">2. </w:t>
      </w:r>
      <w:r>
        <w:rPr>
          <w:rFonts w:hint="default" w:ascii="Times New Roman" w:hAnsi="Times New Roman" w:eastAsia="仿宋" w:cs="Times New Roman"/>
          <w:color w:val="000000" w:themeColor="text1"/>
          <w:sz w:val="32"/>
          <w:szCs w:val="32"/>
          <w:highlight w:val="none"/>
          <w14:textFill>
            <w14:solidFill>
              <w14:schemeClr w14:val="tx1"/>
            </w14:solidFill>
          </w14:textFill>
        </w:rPr>
        <w:t>OECD. OECD Guideline for the testing of chemicals</w:t>
      </w:r>
      <w:r>
        <w:rPr>
          <w:rFonts w:hint="eastAsia" w:eastAsia="仿宋"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2"/>
          <w:szCs w:val="32"/>
          <w:highlight w:val="none"/>
          <w14:textFill>
            <w14:solidFill>
              <w14:schemeClr w14:val="tx1"/>
            </w14:solidFill>
          </w14:textFill>
        </w:rPr>
        <w:t xml:space="preserve">Acute Inhalation Toxicity </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 xml:space="preserve"> Acute Toxic Class Method (436). (2009.7).</w:t>
      </w:r>
    </w:p>
    <w:p>
      <w:pPr>
        <w:spacing w:line="360" w:lineRule="auto"/>
        <w:ind w:firstLine="0" w:firstLineChars="0"/>
        <w:jc w:val="both"/>
        <w:rPr>
          <w:rFonts w:hint="eastAsia" w:eastAsia="仿宋" w:cs="Times New Roman"/>
          <w:color w:val="000000" w:themeColor="text1"/>
          <w:sz w:val="32"/>
          <w:szCs w:val="32"/>
          <w:highlight w:val="none"/>
          <w:lang w:val="en-US" w:eastAsia="zh-CN"/>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3. 中华人民共和国国家质量监督检验检疫总局，中国国家标准化管理委员会。中华人民共和国国家标准《化学品 急性吸入毒性试验 急性毒性分类法》。（GB/T 28648-2012）</w:t>
      </w:r>
    </w:p>
    <w:p>
      <w:pPr>
        <w:spacing w:line="360" w:lineRule="auto"/>
        <w:ind w:firstLine="0" w:firstLineChars="0"/>
        <w:jc w:val="both"/>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4. OECD</w:t>
      </w:r>
      <w:r>
        <w:rPr>
          <w:rFonts w:hint="default" w:ascii="Times New Roman" w:hAnsi="Times New Roman" w:eastAsia="仿宋" w:cs="Times New Roman"/>
          <w:color w:val="000000" w:themeColor="text1"/>
          <w:sz w:val="32"/>
          <w:szCs w:val="32"/>
          <w:highlight w:val="none"/>
          <w14:textFill>
            <w14:solidFill>
              <w14:schemeClr w14:val="tx1"/>
            </w14:solidFill>
          </w14:textFill>
        </w:rPr>
        <w:t>. Guidance Document on the Recognition, Assessment and Use of Clinical Signs as Humane Endpoints for Experimental Animals Used in Safety Evaluation. Environmental</w:t>
      </w:r>
      <w:r>
        <w:rPr>
          <w:rFonts w:hint="eastAsia" w:eastAsia="仿宋"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2"/>
          <w:szCs w:val="32"/>
          <w:highlight w:val="none"/>
          <w14:textFill>
            <w14:solidFill>
              <w14:schemeClr w14:val="tx1"/>
            </w14:solidFill>
          </w14:textFill>
        </w:rPr>
        <w:t>Health and Safety Monograph Series on Testing and Assessment No.</w:t>
      </w:r>
      <w:r>
        <w:rPr>
          <w:rFonts w:hint="eastAsia" w:eastAsia="仿宋"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 w:cs="Times New Roman"/>
          <w:color w:val="000000" w:themeColor="text1"/>
          <w:sz w:val="32"/>
          <w:szCs w:val="32"/>
          <w:highlight w:val="none"/>
          <w14:textFill>
            <w14:solidFill>
              <w14:schemeClr w14:val="tx1"/>
            </w14:solidFill>
          </w14:textFill>
        </w:rPr>
        <w:t>9. (200</w:t>
      </w:r>
      <w:r>
        <w:rPr>
          <w:rFonts w:hint="eastAsia" w:eastAsia="仿宋" w:cs="Times New Roman"/>
          <w:color w:val="000000" w:themeColor="text1"/>
          <w:sz w:val="32"/>
          <w:szCs w:val="32"/>
          <w:highlight w:val="none"/>
          <w:lang w:val="en-US" w:eastAsia="zh-CN"/>
          <w14:textFill>
            <w14:solidFill>
              <w14:schemeClr w14:val="tx1"/>
            </w14:solidFill>
          </w14:textFill>
        </w:rPr>
        <w:t>0</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r>
        <w:rPr>
          <w:rFonts w:hint="eastAsia" w:eastAsia="仿宋" w:cs="Times New Roman"/>
          <w:color w:val="000000" w:themeColor="text1"/>
          <w:sz w:val="32"/>
          <w:szCs w:val="32"/>
          <w:highlight w:val="none"/>
          <w:lang w:val="en-US" w:eastAsia="zh-CN"/>
          <w14:textFill>
            <w14:solidFill>
              <w14:schemeClr w14:val="tx1"/>
            </w14:solidFill>
          </w14:textFill>
        </w:rPr>
        <w:t>12</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360" w:lineRule="auto"/>
        <w:ind w:firstLine="0" w:firstLineChars="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5</w:t>
      </w:r>
      <w:r>
        <w:rPr>
          <w:rFonts w:hint="default" w:ascii="Times New Roman" w:hAnsi="Times New Roman" w:eastAsia="仿宋" w:cs="Times New Roman"/>
          <w:color w:val="000000" w:themeColor="text1"/>
          <w:sz w:val="32"/>
          <w:szCs w:val="32"/>
          <w:highlight w:val="none"/>
          <w14:textFill>
            <w14:solidFill>
              <w14:schemeClr w14:val="tx1"/>
            </w14:solidFill>
          </w14:textFill>
        </w:rPr>
        <w:t>. OECD. OECD Guideline for the testing of chemicals</w:t>
      </w:r>
      <w:r>
        <w:rPr>
          <w:rFonts w:hint="eastAsia" w:eastAsia="仿宋"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2"/>
          <w:szCs w:val="32"/>
          <w:highlight w:val="none"/>
          <w14:textFill>
            <w14:solidFill>
              <w14:schemeClr w14:val="tx1"/>
            </w14:solidFill>
          </w14:textFill>
        </w:rPr>
        <w:t>acute inhalation toxicity (403). (2009.9)</w:t>
      </w:r>
    </w:p>
    <w:p>
      <w:pPr>
        <w:spacing w:line="360" w:lineRule="auto"/>
        <w:ind w:firstLine="0" w:firstLineChars="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6</w:t>
      </w:r>
      <w:r>
        <w:rPr>
          <w:rFonts w:hint="default" w:ascii="Times New Roman" w:hAnsi="Times New Roman" w:eastAsia="仿宋" w:cs="Times New Roman"/>
          <w:color w:val="000000" w:themeColor="text1"/>
          <w:sz w:val="32"/>
          <w:szCs w:val="32"/>
          <w:highlight w:val="none"/>
          <w14:textFill>
            <w14:solidFill>
              <w14:schemeClr w14:val="tx1"/>
            </w14:solidFill>
          </w14:textFill>
        </w:rPr>
        <w:t xml:space="preserve">. </w:t>
      </w:r>
      <w:r>
        <w:rPr>
          <w:rFonts w:hint="eastAsia" w:eastAsia="仿宋" w:cs="Times New Roman"/>
          <w:color w:val="000000" w:themeColor="text1"/>
          <w:sz w:val="32"/>
          <w:szCs w:val="32"/>
          <w:highlight w:val="none"/>
          <w:lang w:val="en-US" w:eastAsia="zh-CN"/>
          <w14:textFill>
            <w14:solidFill>
              <w14:schemeClr w14:val="tx1"/>
            </w14:solidFill>
          </w14:textFill>
        </w:rPr>
        <w:t>OECD</w:t>
      </w:r>
      <w:r>
        <w:rPr>
          <w:rFonts w:hint="default" w:ascii="Times New Roman" w:hAnsi="Times New Roman" w:eastAsia="仿宋" w:cs="Times New Roman"/>
          <w:color w:val="000000" w:themeColor="text1"/>
          <w:sz w:val="32"/>
          <w:szCs w:val="32"/>
          <w:highlight w:val="none"/>
          <w14:textFill>
            <w14:solidFill>
              <w14:schemeClr w14:val="tx1"/>
            </w14:solidFill>
          </w14:textFill>
        </w:rPr>
        <w:t>. OECD Guidance Document on Acute Inhalation Toxicity Testing. Environmental Health and Safety Monograph Series on Testing and Assessment No. 39. (2009.7)</w:t>
      </w:r>
    </w:p>
    <w:p>
      <w:pPr>
        <w:spacing w:line="360" w:lineRule="auto"/>
        <w:ind w:firstLine="0" w:firstLineChars="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7</w:t>
      </w:r>
      <w:r>
        <w:rPr>
          <w:rFonts w:hint="default" w:ascii="Times New Roman" w:hAnsi="Times New Roman" w:eastAsia="仿宋" w:cs="Times New Roman"/>
          <w:color w:val="000000" w:themeColor="text1"/>
          <w:sz w:val="32"/>
          <w:szCs w:val="32"/>
          <w:highlight w:val="none"/>
          <w14:textFill>
            <w14:solidFill>
              <w14:schemeClr w14:val="tx1"/>
            </w14:solidFill>
          </w14:textFill>
        </w:rPr>
        <w:t>.国家药品监督管理局。化妆品注册和备案检验工作规范。（2019.9）</w:t>
      </w:r>
    </w:p>
    <w:p>
      <w:pPr>
        <w:spacing w:line="360" w:lineRule="auto"/>
        <w:ind w:firstLine="0" w:firstLineChars="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8</w:t>
      </w:r>
      <w:r>
        <w:rPr>
          <w:rFonts w:hint="default" w:ascii="Times New Roman" w:hAnsi="Times New Roman" w:eastAsia="仿宋" w:cs="Times New Roman"/>
          <w:color w:val="000000" w:themeColor="text1"/>
          <w:sz w:val="32"/>
          <w:szCs w:val="32"/>
          <w:highlight w:val="none"/>
          <w14:textFill>
            <w14:solidFill>
              <w14:schemeClr w14:val="tx1"/>
            </w14:solidFill>
          </w14:textFill>
        </w:rPr>
        <w:t>. 国家药品监督管理局。化妆品安全评估技术导则（2021年版）。（2021.4）</w:t>
      </w:r>
    </w:p>
    <w:p>
      <w:pPr>
        <w:spacing w:line="360" w:lineRule="auto"/>
        <w:ind w:firstLine="0" w:firstLineChars="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仿宋" w:cs="Times New Roman"/>
          <w:color w:val="000000" w:themeColor="text1"/>
          <w:sz w:val="32"/>
          <w:szCs w:val="32"/>
          <w:highlight w:val="none"/>
          <w14:textFill>
            <w14:solidFill>
              <w14:schemeClr w14:val="tx1"/>
            </w14:solidFill>
          </w14:textFill>
        </w:rPr>
        <w:t>. 国家食品药品监督管理</w:t>
      </w:r>
      <w:r>
        <w:rPr>
          <w:rFonts w:hint="eastAsia" w:eastAsia="仿宋" w:cs="Times New Roman"/>
          <w:color w:val="000000" w:themeColor="text1"/>
          <w:sz w:val="32"/>
          <w:szCs w:val="32"/>
          <w:highlight w:val="none"/>
          <w:lang w:val="en-US" w:eastAsia="zh-CN"/>
          <w14:textFill>
            <w14:solidFill>
              <w14:schemeClr w14:val="tx1"/>
            </w14:solidFill>
          </w14:textFill>
        </w:rPr>
        <w:t>总</w:t>
      </w:r>
      <w:r>
        <w:rPr>
          <w:rFonts w:hint="default" w:ascii="Times New Roman" w:hAnsi="Times New Roman" w:eastAsia="仿宋" w:cs="Times New Roman"/>
          <w:color w:val="000000" w:themeColor="text1"/>
          <w:sz w:val="32"/>
          <w:szCs w:val="32"/>
          <w:highlight w:val="none"/>
          <w14:textFill>
            <w14:solidFill>
              <w14:schemeClr w14:val="tx1"/>
            </w14:solidFill>
          </w14:textFill>
        </w:rPr>
        <w:t>局。化妆品安全技术规范（2015年版）。（2015.12）</w:t>
      </w:r>
    </w:p>
    <w:p>
      <w:pPr>
        <w:spacing w:line="360" w:lineRule="auto"/>
        <w:ind w:firstLine="640" w:firstLineChars="200"/>
        <w:jc w:val="both"/>
        <w:outlineLvl w:val="9"/>
        <w:rPr>
          <w:rFonts w:hint="default" w:ascii="Times New Roman" w:hAnsi="Times New Roman" w:eastAsia="黑体" w:cs="Times New Roman"/>
          <w:b w:val="0"/>
          <w:bCs/>
          <w:color w:val="000000" w:themeColor="text1"/>
          <w:sz w:val="32"/>
          <w:szCs w:val="32"/>
          <w:highlight w:val="none"/>
          <w14:textFill>
            <w14:solidFill>
              <w14:schemeClr w14:val="tx1"/>
            </w14:solidFill>
          </w14:textFill>
        </w:rPr>
      </w:pPr>
      <w:bookmarkStart w:id="49" w:name="_Toc121730520"/>
      <w:r>
        <w:rPr>
          <w:rFonts w:hint="default" w:ascii="Times New Roman" w:hAnsi="Times New Roman" w:eastAsia="黑体" w:cs="Times New Roman"/>
          <w:b w:val="0"/>
          <w:bCs/>
          <w:color w:val="000000" w:themeColor="text1"/>
          <w:sz w:val="32"/>
          <w:szCs w:val="32"/>
          <w:highlight w:val="none"/>
          <w:lang w:val="en-US" w:eastAsia="zh-CN"/>
          <w14:textFill>
            <w14:solidFill>
              <w14:schemeClr w14:val="tx1"/>
            </w14:solidFill>
          </w14:textFill>
        </w:rPr>
        <w:t>六</w:t>
      </w:r>
      <w:r>
        <w:rPr>
          <w:rFonts w:hint="default" w:ascii="Times New Roman" w:hAnsi="Times New Roman" w:eastAsia="黑体" w:cs="Times New Roman"/>
          <w:b w:val="0"/>
          <w:bCs/>
          <w:color w:val="000000" w:themeColor="text1"/>
          <w:sz w:val="32"/>
          <w:szCs w:val="32"/>
          <w:highlight w:val="none"/>
          <w14:textFill>
            <w14:solidFill>
              <w14:schemeClr w14:val="tx1"/>
            </w14:solidFill>
          </w14:textFill>
        </w:rPr>
        <w:t>、</w:t>
      </w:r>
      <w:r>
        <w:rPr>
          <w:rFonts w:hint="default" w:ascii="Times New Roman" w:hAnsi="Times New Roman" w:eastAsia="黑体" w:cs="Times New Roman"/>
          <w:b w:val="0"/>
          <w:bCs/>
          <w:color w:val="000000" w:themeColor="text1"/>
          <w:sz w:val="32"/>
          <w:szCs w:val="32"/>
          <w:highlight w:val="none"/>
          <w:lang w:val="en-US" w:eastAsia="zh-CN"/>
          <w14:textFill>
            <w14:solidFill>
              <w14:schemeClr w14:val="tx1"/>
            </w14:solidFill>
          </w14:textFill>
        </w:rPr>
        <w:t>术语和释义</w:t>
      </w:r>
      <w:bookmarkEnd w:id="49"/>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bookmarkStart w:id="50" w:name="_Toc121730521"/>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气溶胶</w:t>
      </w:r>
      <w:r>
        <w:rPr>
          <w:rFonts w:hint="eastAsia" w:eastAsia="仿宋" w:cs="Times New Roman"/>
          <w:color w:val="000000" w:themeColor="text1"/>
          <w:sz w:val="32"/>
          <w:szCs w:val="32"/>
          <w:highlight w:val="none"/>
          <w:lang w:val="en-US" w:eastAsia="zh-CN"/>
          <w14:textFill>
            <w14:solidFill>
              <w14:schemeClr w14:val="tx1"/>
            </w14:solidFill>
          </w14:textFill>
        </w:rPr>
        <w:t>（A</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erosol</w:t>
      </w:r>
      <w:r>
        <w:rPr>
          <w:rFonts w:hint="eastAsia" w:eastAsia="仿宋"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固态颗粒或液滴悬浮于气体中形成的悬浮</w:t>
      </w:r>
      <w:r>
        <w:rPr>
          <w:rFonts w:hint="eastAsia" w:eastAsia="仿宋" w:cs="Times New Roman"/>
          <w:color w:val="000000" w:themeColor="text1"/>
          <w:sz w:val="32"/>
          <w:szCs w:val="32"/>
          <w:highlight w:val="none"/>
          <w:lang w:val="en-US" w:eastAsia="zh-CN"/>
          <w14:textFill>
            <w14:solidFill>
              <w14:schemeClr w14:val="tx1"/>
            </w14:solidFill>
          </w14:textFill>
        </w:rPr>
        <w:t>体系</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急性吸入毒性（Acute Inhalation Toxicity）：实验动物短时间（</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一般为4 h，不超过24 h</w:t>
      </w:r>
      <w:r>
        <w:rPr>
          <w:rFonts w:hint="default" w:ascii="Times New Roman" w:hAnsi="Times New Roman" w:eastAsia="仿宋" w:cs="Times New Roman"/>
          <w:color w:val="000000" w:themeColor="text1"/>
          <w:sz w:val="32"/>
          <w:szCs w:val="32"/>
          <w:highlight w:val="none"/>
          <w14:textFill>
            <w14:solidFill>
              <w14:schemeClr w14:val="tx1"/>
            </w14:solidFill>
          </w14:textFill>
        </w:rPr>
        <w:t>）持续吸入一种可吸入性受试物</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样本</w:t>
      </w:r>
      <w:r>
        <w:rPr>
          <w:rFonts w:hint="default" w:ascii="Times New Roman" w:hAnsi="Times New Roman" w:eastAsia="仿宋" w:cs="Times New Roman"/>
          <w:color w:val="000000" w:themeColor="text1"/>
          <w:sz w:val="32"/>
          <w:szCs w:val="32"/>
          <w:highlight w:val="none"/>
          <w14:textFill>
            <w14:solidFill>
              <w14:schemeClr w14:val="tx1"/>
            </w14:solidFill>
          </w14:textFill>
        </w:rPr>
        <w:t>后，在短期内出现的健康损害效应。</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半数致死浓度（Lethal Concentration 50</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LC50）：在一定时间内经呼吸道吸入受试</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样本</w:t>
      </w:r>
      <w:r>
        <w:rPr>
          <w:rFonts w:hint="default" w:ascii="Times New Roman" w:hAnsi="Times New Roman" w:eastAsia="仿宋" w:cs="Times New Roman"/>
          <w:color w:val="000000" w:themeColor="text1"/>
          <w:sz w:val="32"/>
          <w:szCs w:val="32"/>
          <w:highlight w:val="none"/>
          <w14:textFill>
            <w14:solidFill>
              <w14:schemeClr w14:val="tx1"/>
            </w14:solidFill>
          </w14:textFill>
        </w:rPr>
        <w:t>后，引起实验动物总体中半数死亡的毒物的统计学剂量，以单位体积气体中受试</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样本</w:t>
      </w:r>
      <w:r>
        <w:rPr>
          <w:rFonts w:hint="default" w:ascii="Times New Roman" w:hAnsi="Times New Roman" w:eastAsia="仿宋" w:cs="Times New Roman"/>
          <w:color w:val="000000" w:themeColor="text1"/>
          <w:sz w:val="32"/>
          <w:szCs w:val="32"/>
          <w:highlight w:val="none"/>
          <w14:textFill>
            <w14:solidFill>
              <w14:schemeClr w14:val="tx1"/>
            </w14:solidFill>
          </w14:textFill>
        </w:rPr>
        <w:t>的质量（mg/m</w:t>
      </w:r>
      <w:r>
        <w:rPr>
          <w:rFonts w:hint="default" w:ascii="Times New Roman" w:hAnsi="Times New Roman" w:eastAsia="仿宋" w:cs="Times New Roman"/>
          <w:color w:val="000000" w:themeColor="text1"/>
          <w:sz w:val="32"/>
          <w:szCs w:val="32"/>
          <w:highlight w:val="none"/>
          <w:vertAlign w:val="superscript"/>
          <w14:textFill>
            <w14:solidFill>
              <w14:schemeClr w14:val="tx1"/>
            </w14:solidFill>
          </w14:textFill>
        </w:rPr>
        <w:t>3</w:t>
      </w:r>
      <w:r>
        <w:rPr>
          <w:rFonts w:hint="default" w:ascii="Times New Roman" w:hAnsi="Times New Roman" w:eastAsia="仿宋" w:cs="Times New Roman"/>
          <w:color w:val="000000" w:themeColor="text1"/>
          <w:sz w:val="32"/>
          <w:szCs w:val="32"/>
          <w:highlight w:val="none"/>
          <w14:textFill>
            <w14:solidFill>
              <w14:schemeClr w14:val="tx1"/>
            </w14:solidFill>
          </w14:textFill>
        </w:rPr>
        <w:t>）来表示。</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急性吸入毒性分类法</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按照一定的连续试验步骤和相应的浓度进行测试，从而获得受试物的毒性分类和半数致死浓度（LC50）估测范围的试验方法。</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质量中值空气动力学直径（Mass Median Aerodynamic Diameter</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MMAD</w:t>
      </w:r>
      <w:r>
        <w:rPr>
          <w:rFonts w:hint="default" w:ascii="Times New Roman" w:hAnsi="Times New Roman" w:eastAsia="仿宋" w:cs="Times New Roman"/>
          <w:color w:val="000000" w:themeColor="text1"/>
          <w:sz w:val="32"/>
          <w:szCs w:val="32"/>
          <w:highlight w:val="none"/>
          <w14:textFill>
            <w14:solidFill>
              <w14:schemeClr w14:val="tx1"/>
            </w14:solidFill>
          </w14:textFill>
        </w:rPr>
        <w:t>）：由</w:t>
      </w:r>
      <w:r>
        <w:rPr>
          <w:rFonts w:hint="eastAsia" w:eastAsia="仿宋" w:cs="Times New Roman"/>
          <w:color w:val="000000" w:themeColor="text1"/>
          <w:sz w:val="32"/>
          <w:szCs w:val="32"/>
          <w:highlight w:val="none"/>
          <w:lang w:eastAsia="zh-CN"/>
          <w14:textFill>
            <w14:solidFill>
              <w14:schemeClr w14:val="tx1"/>
            </w14:solidFill>
          </w14:textFill>
        </w:rPr>
        <w:t>空气动力学</w:t>
      </w:r>
      <w:r>
        <w:rPr>
          <w:rFonts w:hint="default" w:ascii="Times New Roman" w:hAnsi="Times New Roman" w:eastAsia="仿宋" w:cs="Times New Roman"/>
          <w:color w:val="000000" w:themeColor="text1"/>
          <w:sz w:val="32"/>
          <w:szCs w:val="32"/>
          <w:highlight w:val="none"/>
          <w14:textFill>
            <w14:solidFill>
              <w14:schemeClr w14:val="tx1"/>
            </w14:solidFill>
          </w14:textFill>
        </w:rPr>
        <w:t>直径大小不一的颗粒组成的气溶胶</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样本</w:t>
      </w:r>
      <w:r>
        <w:rPr>
          <w:rFonts w:hint="eastAsia" w:eastAsia="仿宋" w:cs="Times New Roman"/>
          <w:color w:val="000000" w:themeColor="text1"/>
          <w:sz w:val="32"/>
          <w:szCs w:val="32"/>
          <w:highlight w:val="none"/>
          <w:lang w:eastAsia="zh-CN"/>
          <w14:textFill>
            <w14:solidFill>
              <w14:schemeClr w14:val="tx1"/>
            </w14:solidFill>
          </w14:textFill>
        </w:rPr>
        <w:t>中</w:t>
      </w:r>
      <w:r>
        <w:rPr>
          <w:rFonts w:hint="default" w:ascii="Times New Roman" w:hAnsi="Times New Roman" w:eastAsia="仿宋" w:cs="Times New Roman"/>
          <w:color w:val="000000" w:themeColor="text1"/>
          <w:sz w:val="32"/>
          <w:szCs w:val="32"/>
          <w:highlight w:val="none"/>
          <w14:textFill>
            <w14:solidFill>
              <w14:schemeClr w14:val="tx1"/>
            </w14:solidFill>
          </w14:textFill>
        </w:rPr>
        <w:t>，小于和等于某一</w:t>
      </w:r>
      <w:r>
        <w:rPr>
          <w:rFonts w:hint="eastAsia" w:eastAsia="仿宋" w:cs="Times New Roman"/>
          <w:color w:val="000000" w:themeColor="text1"/>
          <w:sz w:val="32"/>
          <w:szCs w:val="32"/>
          <w:highlight w:val="none"/>
          <w:lang w:eastAsia="zh-CN"/>
          <w14:textFill>
            <w14:solidFill>
              <w14:schemeClr w14:val="tx1"/>
            </w14:solidFill>
          </w14:textFill>
        </w:rPr>
        <w:t>空气动力学</w:t>
      </w:r>
      <w:r>
        <w:rPr>
          <w:rFonts w:hint="default" w:ascii="Times New Roman" w:hAnsi="Times New Roman" w:eastAsia="仿宋" w:cs="Times New Roman"/>
          <w:color w:val="000000" w:themeColor="text1"/>
          <w:sz w:val="32"/>
          <w:szCs w:val="32"/>
          <w:highlight w:val="none"/>
          <w14:textFill>
            <w14:solidFill>
              <w14:schemeClr w14:val="tx1"/>
            </w14:solidFill>
          </w14:textFill>
        </w:rPr>
        <w:t>直径（例如5 μm）的颗粒占气溶胶</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样本</w:t>
      </w:r>
      <w:r>
        <w:rPr>
          <w:rFonts w:hint="default" w:ascii="Times New Roman" w:hAnsi="Times New Roman" w:eastAsia="仿宋" w:cs="Times New Roman"/>
          <w:color w:val="000000" w:themeColor="text1"/>
          <w:sz w:val="32"/>
          <w:szCs w:val="32"/>
          <w:highlight w:val="none"/>
          <w14:textFill>
            <w14:solidFill>
              <w14:schemeClr w14:val="tx1"/>
            </w14:solidFill>
          </w14:textFill>
        </w:rPr>
        <w:t>总质量或总重量50%时，则该气溶胶颗粒</w:t>
      </w:r>
      <w:r>
        <w:rPr>
          <w:rFonts w:hint="eastAsia" w:eastAsia="仿宋" w:cs="Times New Roman"/>
          <w:color w:val="000000" w:themeColor="text1"/>
          <w:sz w:val="32"/>
          <w:szCs w:val="32"/>
          <w:highlight w:val="none"/>
          <w:lang w:eastAsia="zh-CN"/>
          <w14:textFill>
            <w14:solidFill>
              <w14:schemeClr w14:val="tx1"/>
            </w14:solidFill>
          </w14:textFill>
        </w:rPr>
        <w:t>空气动力学</w:t>
      </w:r>
      <w:r>
        <w:rPr>
          <w:rFonts w:hint="default" w:ascii="Times New Roman" w:hAnsi="Times New Roman" w:eastAsia="仿宋" w:cs="Times New Roman"/>
          <w:color w:val="000000" w:themeColor="text1"/>
          <w:sz w:val="32"/>
          <w:szCs w:val="32"/>
          <w:highlight w:val="none"/>
          <w14:textFill>
            <w14:solidFill>
              <w14:schemeClr w14:val="tx1"/>
            </w14:solidFill>
          </w14:textFill>
        </w:rPr>
        <w:t>直径即为此气溶胶</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样本</w:t>
      </w:r>
      <w:r>
        <w:rPr>
          <w:rFonts w:hint="default" w:ascii="Times New Roman" w:hAnsi="Times New Roman" w:eastAsia="仿宋" w:cs="Times New Roman"/>
          <w:color w:val="000000" w:themeColor="text1"/>
          <w:sz w:val="32"/>
          <w:szCs w:val="32"/>
          <w:highlight w:val="none"/>
          <w14:textFill>
            <w14:solidFill>
              <w14:schemeClr w14:val="tx1"/>
            </w14:solidFill>
          </w14:textFill>
        </w:rPr>
        <w:t>的质量中值</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空气</w:t>
      </w:r>
      <w:r>
        <w:rPr>
          <w:rFonts w:hint="default" w:ascii="Times New Roman" w:hAnsi="Times New Roman" w:eastAsia="仿宋" w:cs="Times New Roman"/>
          <w:color w:val="000000" w:themeColor="text1"/>
          <w:sz w:val="32"/>
          <w:szCs w:val="32"/>
          <w:highlight w:val="none"/>
          <w14:textFill>
            <w14:solidFill>
              <w14:schemeClr w14:val="tx1"/>
            </w14:solidFill>
          </w14:textFill>
        </w:rPr>
        <w:t>动力学直径（5 μm）。</w:t>
      </w:r>
    </w:p>
    <w:p>
      <w:pPr>
        <w:spacing w:line="360" w:lineRule="auto"/>
        <w:ind w:firstLine="640" w:firstLineChars="200"/>
        <w:jc w:val="both"/>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几何标准差（Geometric Standard Deviation</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14:textFill>
            <w14:solidFill>
              <w14:schemeClr w14:val="tx1"/>
            </w14:solidFill>
          </w14:textFill>
        </w:rPr>
        <w:t>GSD）：</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即</w:t>
      </w:r>
      <w:r>
        <w:rPr>
          <w:rFonts w:hint="default" w:ascii="Times New Roman" w:hAnsi="Times New Roman" w:eastAsia="仿宋" w:cs="Times New Roman"/>
          <w:color w:val="000000" w:themeColor="text1"/>
          <w:sz w:val="32"/>
          <w:szCs w:val="32"/>
          <w:highlight w:val="none"/>
          <w14:textFill>
            <w14:solidFill>
              <w14:schemeClr w14:val="tx1"/>
            </w14:solidFill>
          </w14:textFill>
        </w:rPr>
        <w:t>气溶胶颗粒</w:t>
      </w:r>
      <w:r>
        <w:rPr>
          <w:rFonts w:hint="eastAsia" w:eastAsia="仿宋" w:cs="Times New Roman"/>
          <w:color w:val="000000" w:themeColor="text1"/>
          <w:sz w:val="32"/>
          <w:szCs w:val="32"/>
          <w:highlight w:val="none"/>
          <w:lang w:eastAsia="zh-CN"/>
          <w14:textFill>
            <w14:solidFill>
              <w14:schemeClr w14:val="tx1"/>
            </w14:solidFill>
          </w14:textFill>
        </w:rPr>
        <w:t>空气动力学</w:t>
      </w:r>
      <w:r>
        <w:rPr>
          <w:rFonts w:hint="default" w:ascii="Times New Roman" w:hAnsi="Times New Roman" w:eastAsia="仿宋" w:cs="Times New Roman"/>
          <w:color w:val="000000" w:themeColor="text1"/>
          <w:sz w:val="32"/>
          <w:szCs w:val="32"/>
          <w:highlight w:val="none"/>
          <w14:textFill>
            <w14:solidFill>
              <w14:schemeClr w14:val="tx1"/>
            </w14:solidFill>
          </w14:textFill>
        </w:rPr>
        <w:t>直径的几何标准差，</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是</w:t>
      </w:r>
      <w:r>
        <w:rPr>
          <w:rFonts w:hint="default" w:ascii="Times New Roman" w:hAnsi="Times New Roman" w:eastAsia="仿宋" w:cs="Times New Roman"/>
          <w:color w:val="000000" w:themeColor="text1"/>
          <w:sz w:val="32"/>
          <w:szCs w:val="32"/>
          <w:highlight w:val="none"/>
          <w14:textFill>
            <w14:solidFill>
              <w14:schemeClr w14:val="tx1"/>
            </w14:solidFill>
          </w14:textFill>
        </w:rPr>
        <w:t>描述气溶胶颗粒大小的均一性或离散程度</w:t>
      </w:r>
      <w:r>
        <w:rPr>
          <w:rFonts w:hint="eastAsia" w:ascii="Times New Roman" w:hAnsi="Times New Roman" w:eastAsia="仿宋" w:cs="Times New Roman"/>
          <w:color w:val="000000" w:themeColor="text1"/>
          <w:sz w:val="32"/>
          <w:szCs w:val="32"/>
          <w:highlight w:val="none"/>
          <w:lang w:eastAsia="zh-CN"/>
          <w14:textFill>
            <w14:solidFill>
              <w14:schemeClr w14:val="tx1"/>
            </w14:solidFill>
          </w14:textFill>
        </w:rPr>
        <w:t>的</w:t>
      </w:r>
      <w:r>
        <w:rPr>
          <w:rFonts w:hint="eastAsia" w:ascii="Times New Roman" w:hAnsi="Times New Roman" w:eastAsia="仿宋" w:cs="Times New Roman"/>
          <w:color w:val="000000" w:themeColor="text1"/>
          <w:sz w:val="32"/>
          <w:szCs w:val="32"/>
          <w:highlight w:val="none"/>
          <w:lang w:val="en-US" w:eastAsia="zh-CN"/>
          <w14:textFill>
            <w14:solidFill>
              <w14:schemeClr w14:val="tx1"/>
            </w14:solidFill>
          </w14:textFill>
        </w:rPr>
        <w:t>参数</w:t>
      </w:r>
      <w:r>
        <w:rPr>
          <w:rFonts w:hint="default" w:ascii="Times New Roman" w:hAnsi="Times New Roman" w:eastAsia="仿宋" w:cs="Times New Roman"/>
          <w:color w:val="000000" w:themeColor="text1"/>
          <w:sz w:val="32"/>
          <w:szCs w:val="32"/>
          <w:highlight w:val="none"/>
          <w14:textFill>
            <w14:solidFill>
              <w14:schemeClr w14:val="tx1"/>
            </w14:solidFill>
          </w14:textFill>
        </w:rPr>
        <w:t>。</w:t>
      </w:r>
    </w:p>
    <w:p>
      <w:pPr>
        <w:spacing w:line="360" w:lineRule="auto"/>
        <w:ind w:firstLine="640" w:firstLineChars="200"/>
        <w:jc w:val="both"/>
        <w:rPr>
          <w:rFonts w:hint="eastAsia" w:eastAsia="仿宋" w:cs="Times New Roman"/>
          <w:color w:val="000000" w:themeColor="text1"/>
          <w:sz w:val="32"/>
          <w:szCs w:val="32"/>
          <w:highlight w:val="none"/>
          <w:lang w:val="en-US" w:eastAsia="zh-CN"/>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计算浓度（Nominal concentration）</w:t>
      </w:r>
      <w:r>
        <w:rPr>
          <w:rFonts w:hint="default" w:eastAsia="仿宋" w:cs="Times New Roman"/>
          <w:color w:val="000000" w:themeColor="text1"/>
          <w:sz w:val="32"/>
          <w:szCs w:val="32"/>
          <w:highlight w:val="none"/>
          <w:lang w:val="en-US" w:eastAsia="zh-CN"/>
          <w14:textFill>
            <w14:solidFill>
              <w14:schemeClr w14:val="tx1"/>
            </w14:solidFill>
          </w14:textFill>
        </w:rPr>
        <w:t>，或称</w:t>
      </w:r>
      <w:r>
        <w:rPr>
          <w:rFonts w:hint="eastAsia" w:eastAsia="仿宋" w:cs="Times New Roman"/>
          <w:color w:val="000000" w:themeColor="text1"/>
          <w:sz w:val="32"/>
          <w:szCs w:val="32"/>
          <w:highlight w:val="none"/>
          <w:lang w:val="en-US" w:eastAsia="zh-CN"/>
          <w14:textFill>
            <w14:solidFill>
              <w14:schemeClr w14:val="tx1"/>
            </w14:solidFill>
          </w14:textFill>
        </w:rPr>
        <w:t>理论</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浓度、</w:t>
      </w:r>
      <w:r>
        <w:rPr>
          <w:rFonts w:hint="default" w:ascii="Times New Roman" w:hAnsi="Times New Roman" w:eastAsia="仿宋" w:cs="Times New Roman"/>
          <w:color w:val="000000" w:themeColor="text1"/>
          <w:sz w:val="32"/>
          <w:szCs w:val="32"/>
          <w:highlight w:val="none"/>
          <w14:textFill>
            <w14:solidFill>
              <w14:schemeClr w14:val="tx1"/>
            </w14:solidFill>
          </w14:textFill>
        </w:rPr>
        <w:t>标示浓度</w:t>
      </w:r>
      <w:r>
        <w:rPr>
          <w:rFonts w:hint="eastAsia" w:eastAsia="仿宋" w:cs="Times New Roman"/>
          <w:color w:val="000000" w:themeColor="text1"/>
          <w:sz w:val="32"/>
          <w:szCs w:val="32"/>
          <w:highlight w:val="none"/>
          <w:lang w:val="en-US" w:eastAsia="zh-CN"/>
          <w14:textFill>
            <w14:solidFill>
              <w14:schemeClr w14:val="tx1"/>
            </w14:solidFill>
          </w14:textFill>
        </w:rPr>
        <w:t>：是指制备气溶胶受试物的量除以通过染毒系统的空气总体积得到的浓度值。</w:t>
      </w:r>
    </w:p>
    <w:p>
      <w:pPr>
        <w:spacing w:line="360" w:lineRule="auto"/>
        <w:ind w:firstLine="640" w:firstLineChars="200"/>
        <w:jc w:val="both"/>
        <w:rPr>
          <w:rFonts w:hint="eastAsia" w:eastAsia="仿宋" w:cs="Times New Roman"/>
          <w:color w:val="000000" w:themeColor="text1"/>
          <w:sz w:val="32"/>
          <w:szCs w:val="32"/>
          <w:highlight w:val="none"/>
          <w:lang w:val="en-US" w:eastAsia="zh-CN"/>
          <w14:textFill>
            <w14:solidFill>
              <w14:schemeClr w14:val="tx1"/>
            </w14:solidFill>
          </w14:textFill>
        </w:rPr>
      </w:pPr>
      <w:r>
        <w:rPr>
          <w:rFonts w:hint="eastAsia" w:eastAsia="仿宋" w:cs="Times New Roman"/>
          <w:color w:val="000000" w:themeColor="text1"/>
          <w:sz w:val="32"/>
          <w:szCs w:val="32"/>
          <w:highlight w:val="none"/>
          <w:lang w:val="en-US" w:eastAsia="zh-CN"/>
          <w14:textFill>
            <w14:solidFill>
              <w14:schemeClr w14:val="tx1"/>
            </w14:solidFill>
          </w14:textFill>
        </w:rPr>
        <w:t>实际浓度 （</w:t>
      </w:r>
      <w:r>
        <w:rPr>
          <w:rFonts w:hint="default" w:eastAsia="仿宋" w:cs="Times New Roman"/>
          <w:color w:val="000000" w:themeColor="text1"/>
          <w:sz w:val="32"/>
          <w:szCs w:val="32"/>
          <w:highlight w:val="none"/>
          <w:lang w:val="en-US" w:eastAsia="zh-CN"/>
          <w14:textFill>
            <w14:solidFill>
              <w14:schemeClr w14:val="tx1"/>
            </w14:solidFill>
          </w14:textFill>
        </w:rPr>
        <w:t>Analytical concentration</w:t>
      </w:r>
      <w:r>
        <w:rPr>
          <w:rFonts w:hint="eastAsia" w:eastAsia="仿宋" w:cs="Times New Roman"/>
          <w:color w:val="000000" w:themeColor="text1"/>
          <w:sz w:val="32"/>
          <w:szCs w:val="32"/>
          <w:highlight w:val="none"/>
          <w:lang w:val="en-US" w:eastAsia="zh-CN"/>
          <w14:textFill>
            <w14:solidFill>
              <w14:schemeClr w14:val="tx1"/>
            </w14:solidFill>
          </w14:textFill>
        </w:rPr>
        <w:t>）：是指染毒系统中动物呼吸区经采样分析获得的</w:t>
      </w:r>
      <w:r>
        <w:rPr>
          <w:rFonts w:hint="default" w:eastAsia="仿宋" w:cs="Times New Roman"/>
          <w:color w:val="000000" w:themeColor="text1"/>
          <w:sz w:val="32"/>
          <w:szCs w:val="32"/>
          <w:highlight w:val="none"/>
          <w:lang w:val="en-US" w:eastAsia="zh-CN"/>
          <w14:textFill>
            <w14:solidFill>
              <w14:schemeClr w14:val="tx1"/>
            </w14:solidFill>
          </w14:textFill>
        </w:rPr>
        <w:t>气溶胶</w:t>
      </w:r>
      <w:r>
        <w:rPr>
          <w:rFonts w:hint="eastAsia" w:eastAsia="仿宋" w:cs="Times New Roman"/>
          <w:color w:val="000000" w:themeColor="text1"/>
          <w:sz w:val="32"/>
          <w:szCs w:val="32"/>
          <w:highlight w:val="none"/>
          <w:lang w:val="en-US" w:eastAsia="zh-CN"/>
          <w14:textFill>
            <w14:solidFill>
              <w14:schemeClr w14:val="tx1"/>
            </w14:solidFill>
          </w14:textFill>
        </w:rPr>
        <w:t>受试物浓度。</w:t>
      </w:r>
    </w:p>
    <w:p>
      <w:pPr>
        <w:spacing w:line="360" w:lineRule="auto"/>
        <w:ind w:firstLine="640" w:firstLineChars="200"/>
        <w:jc w:val="both"/>
        <w:rPr>
          <w:rFonts w:hint="default" w:eastAsia="仿宋"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每分钟呼吸量</w:t>
      </w:r>
      <w:r>
        <w:rPr>
          <w:rFonts w:hint="eastAsia" w:eastAsia="仿宋" w:cs="Times New Roman"/>
          <w:color w:val="000000" w:themeColor="text1"/>
          <w:sz w:val="32"/>
          <w:szCs w:val="32"/>
          <w:highlight w:val="none"/>
          <w:lang w:eastAsia="zh-CN"/>
          <w14:textFill>
            <w14:solidFill>
              <w14:schemeClr w14:val="tx1"/>
            </w14:solidFill>
          </w14:textFill>
        </w:rPr>
        <w:t>（Respiratory minute volume，RMV）：每分钟</w:t>
      </w:r>
      <w:r>
        <w:rPr>
          <w:rFonts w:hint="eastAsia" w:eastAsia="仿宋" w:cs="Times New Roman"/>
          <w:color w:val="000000" w:themeColor="text1"/>
          <w:sz w:val="32"/>
          <w:szCs w:val="32"/>
          <w:highlight w:val="none"/>
          <w:lang w:val="en-US" w:eastAsia="zh-CN"/>
          <w14:textFill>
            <w14:solidFill>
              <w14:schemeClr w14:val="tx1"/>
            </w14:solidFill>
          </w14:textFill>
        </w:rPr>
        <w:t>吸入或呼出</w:t>
      </w:r>
      <w:r>
        <w:rPr>
          <w:rFonts w:hint="eastAsia" w:eastAsia="仿宋" w:cs="Times New Roman"/>
          <w:color w:val="000000" w:themeColor="text1"/>
          <w:sz w:val="32"/>
          <w:szCs w:val="32"/>
          <w:highlight w:val="none"/>
          <w:lang w:eastAsia="zh-CN"/>
          <w14:textFill>
            <w14:solidFill>
              <w14:schemeClr w14:val="tx1"/>
            </w14:solidFill>
          </w14:textFill>
        </w:rPr>
        <w:t>气体的</w:t>
      </w:r>
      <w:r>
        <w:rPr>
          <w:rFonts w:hint="eastAsia" w:eastAsia="仿宋" w:cs="Times New Roman"/>
          <w:color w:val="000000" w:themeColor="text1"/>
          <w:sz w:val="32"/>
          <w:szCs w:val="32"/>
          <w:highlight w:val="none"/>
          <w:lang w:val="en-US" w:eastAsia="zh-CN"/>
          <w14:textFill>
            <w14:solidFill>
              <w14:schemeClr w14:val="tx1"/>
            </w14:solidFill>
          </w14:textFill>
        </w:rPr>
        <w:t>总</w:t>
      </w:r>
      <w:r>
        <w:rPr>
          <w:rFonts w:hint="eastAsia" w:eastAsia="仿宋" w:cs="Times New Roman"/>
          <w:color w:val="000000" w:themeColor="text1"/>
          <w:sz w:val="32"/>
          <w:szCs w:val="32"/>
          <w:highlight w:val="none"/>
          <w:lang w:eastAsia="zh-CN"/>
          <w14:textFill>
            <w14:solidFill>
              <w14:schemeClr w14:val="tx1"/>
            </w14:solidFill>
          </w14:textFill>
        </w:rPr>
        <w:t>体积。</w:t>
      </w:r>
    </w:p>
    <w:p>
      <w:pPr>
        <w:numPr>
          <w:ilvl w:val="-1"/>
          <w:numId w:val="0"/>
        </w:numPr>
        <w:spacing w:line="360" w:lineRule="auto"/>
        <w:ind w:firstLine="640" w:firstLineChars="200"/>
        <w:jc w:val="both"/>
        <w:outlineLvl w:val="9"/>
        <w:rPr>
          <w:rFonts w:hint="default" w:ascii="Times New Roman" w:hAnsi="Times New Roman" w:eastAsia="黑体" w:cs="Times New Roman"/>
          <w:b w:val="0"/>
          <w:bCs/>
          <w:color w:val="000000" w:themeColor="text1"/>
          <w:sz w:val="32"/>
          <w:szCs w:val="32"/>
          <w:highlight w:val="none"/>
          <w14:textFill>
            <w14:solidFill>
              <w14:schemeClr w14:val="tx1"/>
            </w14:solidFill>
          </w14:textFill>
        </w:rPr>
      </w:pPr>
      <w:r>
        <w:rPr>
          <w:rFonts w:hint="default" w:ascii="Times New Roman" w:hAnsi="Times New Roman" w:eastAsia="黑体" w:cs="Times New Roman"/>
          <w:b w:val="0"/>
          <w:bCs/>
          <w:color w:val="000000" w:themeColor="text1"/>
          <w:sz w:val="32"/>
          <w:szCs w:val="32"/>
          <w:highlight w:val="none"/>
          <w:lang w:val="en-US" w:eastAsia="zh-CN"/>
          <w14:textFill>
            <w14:solidFill>
              <w14:schemeClr w14:val="tx1"/>
            </w14:solidFill>
          </w14:textFill>
        </w:rPr>
        <w:t>七、</w:t>
      </w:r>
      <w:r>
        <w:rPr>
          <w:rFonts w:hint="default" w:ascii="Times New Roman" w:hAnsi="Times New Roman" w:eastAsia="黑体" w:cs="Times New Roman"/>
          <w:b w:val="0"/>
          <w:bCs/>
          <w:color w:val="000000" w:themeColor="text1"/>
          <w:sz w:val="32"/>
          <w:szCs w:val="32"/>
          <w:highlight w:val="none"/>
          <w14:textFill>
            <w14:solidFill>
              <w14:schemeClr w14:val="tx1"/>
            </w14:solidFill>
          </w14:textFill>
        </w:rPr>
        <w:t>附录</w:t>
      </w:r>
      <w:bookmarkEnd w:id="50"/>
    </w:p>
    <w:p>
      <w:pPr>
        <w:widowControl w:val="0"/>
        <w:numPr>
          <w:ilvl w:val="-1"/>
          <w:numId w:val="0"/>
        </w:numPr>
        <w:spacing w:line="360" w:lineRule="auto"/>
        <w:ind w:firstLine="640" w:firstLineChars="200"/>
        <w:jc w:val="left"/>
        <w:outlineLvl w:val="9"/>
        <w:rPr>
          <w:rFonts w:hint="default" w:ascii="Times New Roman" w:hAnsi="Times New Roman" w:eastAsia="仿宋" w:cs="Times New Roman"/>
          <w:color w:val="000000" w:themeColor="text1"/>
          <w:sz w:val="32"/>
          <w:szCs w:val="32"/>
          <w:highlight w:val="none"/>
          <w14:textFill>
            <w14:solidFill>
              <w14:schemeClr w14:val="tx1"/>
            </w14:solidFill>
          </w14:textFill>
        </w:rPr>
      </w:pPr>
      <w:r>
        <w:rPr>
          <w:rFonts w:hint="default" w:ascii="Times New Roman" w:hAnsi="Times New Roman" w:eastAsia="仿宋" w:cs="Times New Roman"/>
          <w:color w:val="000000" w:themeColor="text1"/>
          <w:sz w:val="32"/>
          <w:szCs w:val="32"/>
          <w:highlight w:val="none"/>
          <w14:textFill>
            <w14:solidFill>
              <w14:schemeClr w14:val="tx1"/>
            </w14:solidFill>
          </w14:textFill>
        </w:rPr>
        <w:t>可参考</w:t>
      </w:r>
      <w:r>
        <w:rPr>
          <w:rFonts w:hint="default" w:ascii="Times New Roman" w:hAnsi="Times New Roman" w:eastAsia="仿宋" w:cs="Times New Roman"/>
          <w:color w:val="000000" w:themeColor="text1"/>
          <w:sz w:val="32"/>
          <w:szCs w:val="32"/>
          <w:highlight w:val="none"/>
          <w:lang w:val="en-US" w:eastAsia="zh-CN"/>
          <w14:textFill>
            <w14:solidFill>
              <w14:schemeClr w14:val="tx1"/>
            </w14:solidFill>
          </w14:textFill>
        </w:rPr>
        <w:t>中检院官网公示</w:t>
      </w:r>
      <w:r>
        <w:rPr>
          <w:rFonts w:hint="default" w:ascii="Times New Roman" w:hAnsi="Times New Roman" w:eastAsia="仿宋" w:cs="Times New Roman"/>
          <w:color w:val="000000" w:themeColor="text1"/>
          <w:sz w:val="32"/>
          <w:szCs w:val="32"/>
          <w:highlight w:val="none"/>
          <w14:textFill>
            <w14:solidFill>
              <w14:schemeClr w14:val="tx1"/>
            </w14:solidFill>
          </w14:textFill>
        </w:rPr>
        <w:t>的</w:t>
      </w:r>
      <w:r>
        <w:rPr>
          <w:rFonts w:hint="eastAsia" w:eastAsia="仿宋"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 w:cs="Times New Roman"/>
          <w:color w:val="000000" w:themeColor="text1"/>
          <w:sz w:val="32"/>
          <w:szCs w:val="32"/>
          <w:highlight w:val="none"/>
          <w:lang w:eastAsia="zh-CN"/>
          <w14:textFill>
            <w14:solidFill>
              <w14:schemeClr w14:val="tx1"/>
            </w14:solidFill>
          </w14:textFill>
        </w:rPr>
        <w:t>急性吸入毒性试验 急性毒性</w:t>
      </w:r>
      <w:r>
        <w:rPr>
          <w:rFonts w:hint="eastAsia" w:eastAsia="仿宋" w:cs="Times New Roman"/>
          <w:color w:val="000000" w:themeColor="text1"/>
          <w:sz w:val="32"/>
          <w:szCs w:val="32"/>
          <w:highlight w:val="none"/>
          <w:lang w:eastAsia="zh-CN"/>
          <w14:textFill>
            <w14:solidFill>
              <w14:schemeClr w14:val="tx1"/>
            </w14:solidFill>
          </w14:textFill>
        </w:rPr>
        <w:t>分类法”</w:t>
      </w:r>
      <w:r>
        <w:rPr>
          <w:rFonts w:hint="default" w:ascii="Times New Roman" w:hAnsi="Times New Roman" w:eastAsia="仿宋" w:cs="Times New Roman"/>
          <w:color w:val="000000" w:themeColor="text1"/>
          <w:sz w:val="32"/>
          <w:szCs w:val="32"/>
          <w:highlight w:val="none"/>
          <w14:textFill>
            <w14:solidFill>
              <w14:schemeClr w14:val="tx1"/>
            </w14:solidFill>
          </w14:textFill>
        </w:rPr>
        <w:t>方法。</w:t>
      </w:r>
    </w:p>
    <w:p>
      <w:pPr>
        <w:spacing w:before="156" w:beforeLines="50" w:after="156" w:afterLines="50" w:line="300" w:lineRule="auto"/>
        <w:ind w:firstLine="640" w:firstLineChars="200"/>
        <w:jc w:val="both"/>
        <w:rPr>
          <w:rFonts w:hint="default" w:eastAsia="仿宋"/>
          <w:snapToGrid w:val="0"/>
          <w:color w:val="000000" w:themeColor="text1"/>
          <w:kern w:val="0"/>
          <w:sz w:val="32"/>
          <w:szCs w:val="32"/>
          <w:highlight w:val="none"/>
          <w14:textFill>
            <w14:solidFill>
              <w14:schemeClr w14:val="tx1"/>
            </w14:solidFill>
          </w14:textFill>
        </w:rPr>
      </w:pPr>
      <w:r>
        <w:rPr>
          <w:rFonts w:hint="default" w:eastAsia="仿宋"/>
          <w:snapToGrid w:val="0"/>
          <w:color w:val="000000" w:themeColor="text1"/>
          <w:kern w:val="0"/>
          <w:sz w:val="32"/>
          <w:szCs w:val="32"/>
          <w:highlight w:val="none"/>
          <w14:textFill>
            <w14:solidFill>
              <w14:schemeClr w14:val="tx1"/>
            </w14:solidFill>
          </w14:textFill>
        </w:rPr>
        <w:t>实验步骤流程图</w:t>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图1：各初始气体浓度应遵循的试验程序（ppm/4 h）</w:t>
      </w:r>
    </w:p>
    <w:p>
      <w:pPr>
        <w:tabs>
          <w:tab w:val="left" w:pos="4845"/>
        </w:tabs>
        <w:spacing w:before="50" w:after="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对于每一种起始气体浓度，本图中所列的相应检测方案概述了应遵循的试验程序。根据实施人道处死或死亡动物的数量，试验程序遵循箭头指示。</w:t>
      </w:r>
    </w:p>
    <w:p>
      <w:pPr>
        <w:tabs>
          <w:tab w:val="left" w:pos="4845"/>
        </w:tabs>
        <w:spacing w:before="50" w:after="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图1a</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 xml:space="preserve">起始浓度为100 ppm </w:t>
      </w:r>
    </w:p>
    <w:p>
      <w:pPr>
        <w:tabs>
          <w:tab w:val="left" w:pos="4845"/>
        </w:tabs>
        <w:spacing w:before="50" w:after="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图1b</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 xml:space="preserve">起始浓度为500 ppm </w:t>
      </w:r>
    </w:p>
    <w:p>
      <w:pPr>
        <w:tabs>
          <w:tab w:val="left" w:pos="4845"/>
        </w:tabs>
        <w:spacing w:before="50" w:after="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图1c</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起始浓度为2500 ppm</w:t>
      </w:r>
    </w:p>
    <w:p>
      <w:pPr>
        <w:tabs>
          <w:tab w:val="left" w:pos="4845"/>
        </w:tabs>
        <w:spacing w:before="50" w:after="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图1d</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起始浓度为20000 ppm</w:t>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71135" cy="3340735"/>
            <wp:effectExtent l="0" t="0" r="0" b="0"/>
            <wp:docPr id="18" name="图片 1" descr="100ppm 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100ppm 4h"/>
                    <pic:cNvPicPr>
                      <a:picLocks noChangeAspect="1"/>
                    </pic:cNvPicPr>
                  </pic:nvPicPr>
                  <pic:blipFill>
                    <a:blip r:embed="rId6"/>
                    <a:stretch>
                      <a:fillRect/>
                    </a:stretch>
                  </pic:blipFill>
                  <pic:spPr>
                    <a:xfrm>
                      <a:off x="0" y="0"/>
                      <a:ext cx="5271135" cy="3340735"/>
                    </a:xfrm>
                    <a:prstGeom prst="rect">
                      <a:avLst/>
                    </a:prstGeom>
                    <a:noFill/>
                    <a:ln>
                      <a:noFill/>
                    </a:ln>
                  </pic:spPr>
                </pic:pic>
              </a:graphicData>
            </a:graphic>
          </wp:inline>
        </w:drawing>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图1a：气体的起始浓度为100 ppm/4 h的试验程序</w:t>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10175" cy="3336925"/>
            <wp:effectExtent l="0" t="0" r="9525" b="3175"/>
            <wp:docPr id="21" name="图片 2" descr="500 ppm 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500 ppm 4 h"/>
                    <pic:cNvPicPr>
                      <a:picLocks noChangeAspect="1"/>
                    </pic:cNvPicPr>
                  </pic:nvPicPr>
                  <pic:blipFill>
                    <a:blip r:embed="rId7"/>
                    <a:stretch>
                      <a:fillRect/>
                    </a:stretch>
                  </pic:blipFill>
                  <pic:spPr>
                    <a:xfrm>
                      <a:off x="0" y="0"/>
                      <a:ext cx="5210175" cy="3336925"/>
                    </a:xfrm>
                    <a:prstGeom prst="rect">
                      <a:avLst/>
                    </a:prstGeom>
                    <a:noFill/>
                    <a:ln>
                      <a:noFill/>
                    </a:ln>
                  </pic:spPr>
                </pic:pic>
              </a:graphicData>
            </a:graphic>
          </wp:inline>
        </w:drawing>
      </w:r>
    </w:p>
    <w:p>
      <w:pPr>
        <w:pStyle w:val="17"/>
        <w:spacing w:before="156" w:beforeLines="50" w:beforeAutospacing="0" w:after="156" w:afterLines="50" w:afterAutospacing="0" w:line="30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t>图1b：气体的起始浓度为500 ppm/4 h的试验程序</w:t>
      </w:r>
    </w:p>
    <w:p>
      <w:pPr>
        <w:spacing w:before="156" w:beforeLines="50" w:after="156" w:afterLines="50" w:line="300" w:lineRule="auto"/>
        <w:rPr>
          <w:rFonts w:hint="default" w:eastAsia="仿宋"/>
          <w:snapToGrid w:val="0"/>
          <w:color w:val="000000" w:themeColor="text1"/>
          <w:kern w:val="0"/>
          <w:sz w:val="28"/>
          <w:szCs w:val="28"/>
          <w:highlight w:val="none"/>
          <w14:textFill>
            <w14:solidFill>
              <w14:schemeClr w14:val="tx1"/>
            </w14:solidFill>
          </w14:textFill>
        </w:rPr>
      </w:pP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62880" cy="3345815"/>
            <wp:effectExtent l="0" t="0" r="7620" b="6985"/>
            <wp:docPr id="17" name="图片 3" descr="2500 ppm 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2500 ppm 4 h"/>
                    <pic:cNvPicPr>
                      <a:picLocks noChangeAspect="1"/>
                    </pic:cNvPicPr>
                  </pic:nvPicPr>
                  <pic:blipFill>
                    <a:blip r:embed="rId8"/>
                    <a:stretch>
                      <a:fillRect/>
                    </a:stretch>
                  </pic:blipFill>
                  <pic:spPr>
                    <a:xfrm>
                      <a:off x="0" y="0"/>
                      <a:ext cx="5262880" cy="3345815"/>
                    </a:xfrm>
                    <a:prstGeom prst="rect">
                      <a:avLst/>
                    </a:prstGeom>
                    <a:noFill/>
                    <a:ln>
                      <a:noFill/>
                    </a:ln>
                  </pic:spPr>
                </pic:pic>
              </a:graphicData>
            </a:graphic>
          </wp:inline>
        </w:drawing>
      </w:r>
    </w:p>
    <w:p>
      <w:pPr>
        <w:pStyle w:val="17"/>
        <w:spacing w:before="156" w:beforeLines="50" w:beforeAutospacing="0" w:after="156" w:afterLines="50" w:afterAutospacing="0" w:line="30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t>图1c：气体的起始浓度为2500 ppm/4 h的试验程序</w:t>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62880" cy="3777615"/>
            <wp:effectExtent l="0" t="0" r="7620" b="6985"/>
            <wp:docPr id="19" name="图片 4" descr="20000 ppm 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20000 ppm 4 h"/>
                    <pic:cNvPicPr>
                      <a:picLocks noChangeAspect="1"/>
                    </pic:cNvPicPr>
                  </pic:nvPicPr>
                  <pic:blipFill>
                    <a:blip r:embed="rId9"/>
                    <a:stretch>
                      <a:fillRect/>
                    </a:stretch>
                  </pic:blipFill>
                  <pic:spPr>
                    <a:xfrm>
                      <a:off x="0" y="0"/>
                      <a:ext cx="5262880" cy="3777615"/>
                    </a:xfrm>
                    <a:prstGeom prst="rect">
                      <a:avLst/>
                    </a:prstGeom>
                    <a:noFill/>
                    <a:ln>
                      <a:noFill/>
                    </a:ln>
                  </pic:spPr>
                </pic:pic>
              </a:graphicData>
            </a:graphic>
          </wp:inline>
        </w:drawing>
      </w:r>
    </w:p>
    <w:p>
      <w:pPr>
        <w:pStyle w:val="17"/>
        <w:spacing w:before="0" w:beforeLines="-2147483648" w:beforeAutospacing="0" w:after="0" w:afterLines="-2147483648" w:afterAutospacing="0" w:line="24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t>图1d：气体的起始浓度为20000 ppm/4 h的试验程序</w:t>
      </w: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br w:type="page"/>
      </w:r>
    </w:p>
    <w:p>
      <w:pPr>
        <w:pStyle w:val="17"/>
        <w:spacing w:before="0" w:beforeLines="-2147483648" w:beforeAutospacing="0" w:after="0" w:afterLines="-2147483648" w:afterAutospacing="0" w:line="24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p>
    <w:p>
      <w:pPr>
        <w:pStyle w:val="17"/>
        <w:spacing w:before="0" w:beforeLines="-2147483648" w:beforeAutospacing="0" w:after="0" w:afterLines="-2147483648" w:afterAutospacing="0" w:line="24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t>图2：蒸气的各起始浓度应遵循的程序（mg/L/4 h）</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对于每一个起始气体浓度，本图中所列的相应检测方案概述了应遵循的试验程序。根据实施人道处死或死亡动物的数量，试验程序遵循箭头指示。</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图2a</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起始浓度为0.5 mg/L</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图2b</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起始浓度为2.0 mg/L</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图2c</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起始浓度为10 mg/L</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图2d</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起始浓度为20 mg/L</w:t>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54625" cy="3543935"/>
            <wp:effectExtent l="0" t="0" r="3175" b="12065"/>
            <wp:docPr id="15" name="图片 5" descr="0.5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0.5 mg "/>
                    <pic:cNvPicPr>
                      <a:picLocks noChangeAspect="1"/>
                    </pic:cNvPicPr>
                  </pic:nvPicPr>
                  <pic:blipFill>
                    <a:blip r:embed="rId10"/>
                    <a:stretch>
                      <a:fillRect/>
                    </a:stretch>
                  </pic:blipFill>
                  <pic:spPr>
                    <a:xfrm>
                      <a:off x="0" y="0"/>
                      <a:ext cx="5254625" cy="3543935"/>
                    </a:xfrm>
                    <a:prstGeom prst="rect">
                      <a:avLst/>
                    </a:prstGeom>
                    <a:noFill/>
                    <a:ln>
                      <a:noFill/>
                    </a:ln>
                  </pic:spPr>
                </pic:pic>
              </a:graphicData>
            </a:graphic>
          </wp:inline>
        </w:drawing>
      </w:r>
    </w:p>
    <w:p>
      <w:pPr>
        <w:pStyle w:val="17"/>
        <w:spacing w:before="156" w:beforeLines="50" w:beforeAutospacing="0" w:after="156" w:afterLines="50" w:afterAutospacing="0" w:line="30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t>图2a：蒸汽的起始浓度为0.5 mg/L/4 h的试验程序</w:t>
      </w:r>
    </w:p>
    <w:p>
      <w:pPr>
        <w:pStyle w:val="17"/>
        <w:spacing w:before="156" w:beforeLines="50" w:beforeAutospacing="0" w:after="156" w:afterLines="50" w:afterAutospacing="0" w:line="30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kern w:val="0"/>
          <w:sz w:val="28"/>
          <w:szCs w:val="28"/>
          <w:highlight w:val="none"/>
          <w14:textFill>
            <w14:solidFill>
              <w14:schemeClr w14:val="tx1"/>
            </w14:solidFill>
          </w14:textFill>
        </w:rPr>
        <w:drawing>
          <wp:inline distT="0" distB="0" distL="114300" distR="114300">
            <wp:extent cx="5254625" cy="3537585"/>
            <wp:effectExtent l="0" t="0" r="3175" b="5715"/>
            <wp:docPr id="24" name="图片 6" descr="2 mg L 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2 mg L 4 h"/>
                    <pic:cNvPicPr>
                      <a:picLocks noChangeAspect="1"/>
                    </pic:cNvPicPr>
                  </pic:nvPicPr>
                  <pic:blipFill>
                    <a:blip r:embed="rId11"/>
                    <a:stretch>
                      <a:fillRect/>
                    </a:stretch>
                  </pic:blipFill>
                  <pic:spPr>
                    <a:xfrm>
                      <a:off x="0" y="0"/>
                      <a:ext cx="5254625" cy="3537585"/>
                    </a:xfrm>
                    <a:prstGeom prst="rect">
                      <a:avLst/>
                    </a:prstGeom>
                    <a:noFill/>
                    <a:ln>
                      <a:noFill/>
                    </a:ln>
                  </pic:spPr>
                </pic:pic>
              </a:graphicData>
            </a:graphic>
          </wp:inline>
        </w:drawing>
      </w:r>
    </w:p>
    <w:p>
      <w:pPr>
        <w:pStyle w:val="17"/>
        <w:spacing w:before="156" w:beforeLines="50" w:beforeAutospacing="0" w:after="156" w:afterLines="50" w:afterAutospacing="0" w:line="30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t>图2b：蒸汽的起始浓度为2 mg/L/4 h的试验程序</w:t>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54625" cy="3531235"/>
            <wp:effectExtent l="0" t="0" r="3175" b="12065"/>
            <wp:docPr id="22" name="图片 7" descr="10 mg 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10 mg 4 h"/>
                    <pic:cNvPicPr>
                      <a:picLocks noChangeAspect="1"/>
                    </pic:cNvPicPr>
                  </pic:nvPicPr>
                  <pic:blipFill>
                    <a:blip r:embed="rId12"/>
                    <a:stretch>
                      <a:fillRect/>
                    </a:stretch>
                  </pic:blipFill>
                  <pic:spPr>
                    <a:xfrm>
                      <a:off x="0" y="0"/>
                      <a:ext cx="5254625" cy="3531235"/>
                    </a:xfrm>
                    <a:prstGeom prst="rect">
                      <a:avLst/>
                    </a:prstGeom>
                    <a:noFill/>
                    <a:ln>
                      <a:noFill/>
                    </a:ln>
                  </pic:spPr>
                </pic:pic>
              </a:graphicData>
            </a:graphic>
          </wp:inline>
        </w:drawing>
      </w:r>
    </w:p>
    <w:p>
      <w:pPr>
        <w:pStyle w:val="17"/>
        <w:spacing w:before="156" w:beforeLines="50" w:beforeAutospacing="0" w:after="156" w:afterLines="50" w:afterAutospacing="0" w:line="30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t>图2c：蒸汽的起始浓度为10 mg/L/4 h的试验程序</w:t>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54625" cy="4055745"/>
            <wp:effectExtent l="0" t="0" r="3175" b="8255"/>
            <wp:docPr id="23" name="图片 8" descr="20 mg 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20 mg 4 h"/>
                    <pic:cNvPicPr>
                      <a:picLocks noChangeAspect="1"/>
                    </pic:cNvPicPr>
                  </pic:nvPicPr>
                  <pic:blipFill>
                    <a:blip r:embed="rId13"/>
                    <a:stretch>
                      <a:fillRect/>
                    </a:stretch>
                  </pic:blipFill>
                  <pic:spPr>
                    <a:xfrm>
                      <a:off x="0" y="0"/>
                      <a:ext cx="5254625" cy="4055745"/>
                    </a:xfrm>
                    <a:prstGeom prst="rect">
                      <a:avLst/>
                    </a:prstGeom>
                    <a:noFill/>
                    <a:ln>
                      <a:noFill/>
                    </a:ln>
                  </pic:spPr>
                </pic:pic>
              </a:graphicData>
            </a:graphic>
          </wp:inline>
        </w:drawing>
      </w:r>
    </w:p>
    <w:p>
      <w:pPr>
        <w:pStyle w:val="17"/>
        <w:spacing w:before="156" w:beforeLines="50" w:beforeAutospacing="0" w:after="156" w:afterLines="50" w:afterAutospacing="0" w:line="300" w:lineRule="auto"/>
        <w:jc w:val="cente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pPr>
      <w:r>
        <w:rPr>
          <w:rFonts w:hint="default" w:ascii="Times New Roman" w:hAnsi="Times New Roman" w:eastAsia="仿宋" w:cs="Times New Roman"/>
          <w:snapToGrid w:val="0"/>
          <w:color w:val="000000" w:themeColor="text1"/>
          <w:sz w:val="28"/>
          <w:szCs w:val="28"/>
          <w:highlight w:val="none"/>
          <w14:textFill>
            <w14:solidFill>
              <w14:schemeClr w14:val="tx1"/>
            </w14:solidFill>
          </w14:textFill>
        </w:rPr>
        <w:t>图2d：蒸汽的起始浓度为20 mg/L/4 h的试验程序</w:t>
      </w:r>
    </w:p>
    <w:p>
      <w:pPr>
        <w:tabs>
          <w:tab w:val="left" w:pos="1650"/>
        </w:tabs>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br w:type="page"/>
      </w:r>
      <w:r>
        <w:rPr>
          <w:rFonts w:hint="default" w:eastAsia="仿宋"/>
          <w:snapToGrid w:val="0"/>
          <w:color w:val="000000" w:themeColor="text1"/>
          <w:kern w:val="0"/>
          <w:sz w:val="28"/>
          <w:szCs w:val="28"/>
          <w:highlight w:val="none"/>
          <w14:textFill>
            <w14:solidFill>
              <w14:schemeClr w14:val="tx1"/>
            </w14:solidFill>
          </w14:textFill>
        </w:rPr>
        <w:t>图3：粉尘和雾的各起始浓度应遵循的程序（mg/L/4 h）</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对于每一个起始气体浓度，本图中所列的相应检测方案概述了应遵循的试验程序。根据实施人道处死或死亡动物的数量，试验程序遵循箭头指示。</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图3a</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起始浓度为0.05 mg/L</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图3b</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起始浓度为0.5 mg/L</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图3c</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起始浓度为1 mg /L</w:t>
      </w:r>
    </w:p>
    <w:p>
      <w:pPr>
        <w:tabs>
          <w:tab w:val="left" w:pos="4845"/>
        </w:tabs>
        <w:spacing w:before="156" w:beforeLines="50" w:after="156" w:afterLines="50" w:line="300" w:lineRule="auto"/>
        <w:ind w:firstLine="548" w:firstLineChars="196"/>
        <w:jc w:val="both"/>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图3d</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起始浓度为5 mg /L</w:t>
      </w:r>
    </w:p>
    <w:p>
      <w:pPr>
        <w:spacing w:before="156" w:beforeLines="50" w:after="156" w:afterLines="50" w:line="300" w:lineRule="auto"/>
        <w:rPr>
          <w:rFonts w:hint="default" w:eastAsia="仿宋"/>
          <w:snapToGrid w:val="0"/>
          <w:color w:val="000000" w:themeColor="text1"/>
          <w:kern w:val="0"/>
          <w:sz w:val="28"/>
          <w:szCs w:val="28"/>
          <w:highlight w:val="none"/>
          <w14:textFill>
            <w14:solidFill>
              <w14:schemeClr w14:val="tx1"/>
            </w14:solidFill>
          </w14:textFill>
        </w:rPr>
      </w:pPr>
    </w:p>
    <w:p>
      <w:pPr>
        <w:spacing w:before="156" w:beforeLines="50" w:after="156" w:afterLines="50" w:line="300" w:lineRule="auto"/>
        <w:ind w:firstLine="560" w:firstLineChars="200"/>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57165" cy="3902075"/>
            <wp:effectExtent l="0" t="0" r="635" b="9525"/>
            <wp:docPr id="20" name="图片 9" descr="0.05 mg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0.05 mg C"/>
                    <pic:cNvPicPr>
                      <a:picLocks noChangeAspect="1"/>
                    </pic:cNvPicPr>
                  </pic:nvPicPr>
                  <pic:blipFill>
                    <a:blip r:embed="rId14"/>
                    <a:stretch>
                      <a:fillRect/>
                    </a:stretch>
                  </pic:blipFill>
                  <pic:spPr>
                    <a:xfrm>
                      <a:off x="0" y="0"/>
                      <a:ext cx="5257165" cy="3902075"/>
                    </a:xfrm>
                    <a:prstGeom prst="rect">
                      <a:avLst/>
                    </a:prstGeom>
                    <a:noFill/>
                    <a:ln>
                      <a:noFill/>
                    </a:ln>
                  </pic:spPr>
                </pic:pic>
              </a:graphicData>
            </a:graphic>
          </wp:inline>
        </w:drawing>
      </w:r>
    </w:p>
    <w:p>
      <w:pPr>
        <w:tabs>
          <w:tab w:val="left" w:pos="1650"/>
        </w:tabs>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图3a：粉尘和雾的起始浓度为0.05 mg/L/4 h的试验程序</w:t>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57165" cy="3902075"/>
            <wp:effectExtent l="0" t="0" r="635" b="9525"/>
            <wp:docPr id="25" name="图片 10" descr="0.05 mg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0.05 mg C"/>
                    <pic:cNvPicPr>
                      <a:picLocks noChangeAspect="1"/>
                    </pic:cNvPicPr>
                  </pic:nvPicPr>
                  <pic:blipFill>
                    <a:blip r:embed="rId14"/>
                    <a:stretch>
                      <a:fillRect/>
                    </a:stretch>
                  </pic:blipFill>
                  <pic:spPr>
                    <a:xfrm>
                      <a:off x="0" y="0"/>
                      <a:ext cx="5257165" cy="3902075"/>
                    </a:xfrm>
                    <a:prstGeom prst="rect">
                      <a:avLst/>
                    </a:prstGeom>
                    <a:noFill/>
                    <a:ln>
                      <a:noFill/>
                    </a:ln>
                  </pic:spPr>
                </pic:pic>
              </a:graphicData>
            </a:graphic>
          </wp:inline>
        </w:drawing>
      </w:r>
    </w:p>
    <w:p>
      <w:pPr>
        <w:tabs>
          <w:tab w:val="left" w:pos="1650"/>
        </w:tabs>
        <w:spacing w:before="156" w:beforeLines="50" w:after="156" w:afterLines="50" w:line="300" w:lineRule="auto"/>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ab/>
      </w:r>
      <w:r>
        <w:rPr>
          <w:rFonts w:hint="default" w:eastAsia="仿宋"/>
          <w:snapToGrid w:val="0"/>
          <w:color w:val="000000" w:themeColor="text1"/>
          <w:kern w:val="0"/>
          <w:sz w:val="28"/>
          <w:szCs w:val="28"/>
          <w:highlight w:val="none"/>
          <w14:textFill>
            <w14:solidFill>
              <w14:schemeClr w14:val="tx1"/>
            </w14:solidFill>
          </w14:textFill>
        </w:rPr>
        <w:t>图3b：粉尘和雾的起始浓度为0.5 mg/L/4 h的试验程序</w:t>
      </w:r>
    </w:p>
    <w:p>
      <w:pPr>
        <w:tabs>
          <w:tab w:val="left" w:pos="1650"/>
        </w:tabs>
        <w:spacing w:before="156" w:beforeLines="50" w:after="156" w:afterLines="50" w:line="300" w:lineRule="auto"/>
        <w:rPr>
          <w:rFonts w:hint="default" w:eastAsia="仿宋"/>
          <w:snapToGrid w:val="0"/>
          <w:color w:val="000000" w:themeColor="text1"/>
          <w:kern w:val="0"/>
          <w:sz w:val="28"/>
          <w:szCs w:val="28"/>
          <w:highlight w:val="none"/>
          <w14:textFill>
            <w14:solidFill>
              <w14:schemeClr w14:val="tx1"/>
            </w14:solidFill>
          </w14:textFill>
        </w:rPr>
      </w:pPr>
    </w:p>
    <w:p>
      <w:pPr>
        <w:tabs>
          <w:tab w:val="left" w:pos="1650"/>
        </w:tabs>
        <w:spacing w:before="156" w:beforeLines="50" w:after="156" w:afterLines="50" w:line="300" w:lineRule="auto"/>
        <w:rPr>
          <w:rFonts w:hint="default" w:eastAsia="仿宋"/>
          <w:snapToGrid w:val="0"/>
          <w:color w:val="000000" w:themeColor="text1"/>
          <w:kern w:val="0"/>
          <w:sz w:val="28"/>
          <w:szCs w:val="28"/>
          <w:highlight w:val="none"/>
          <w14:textFill>
            <w14:solidFill>
              <w14:schemeClr w14:val="tx1"/>
            </w14:solidFill>
          </w14:textFill>
        </w:rPr>
      </w:pP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57165" cy="3902075"/>
            <wp:effectExtent l="0" t="0" r="635" b="9525"/>
            <wp:docPr id="26" name="图片 11" descr="0.05 mg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0.05 mg C"/>
                    <pic:cNvPicPr>
                      <a:picLocks noChangeAspect="1"/>
                    </pic:cNvPicPr>
                  </pic:nvPicPr>
                  <pic:blipFill>
                    <a:blip r:embed="rId14"/>
                    <a:stretch>
                      <a:fillRect/>
                    </a:stretch>
                  </pic:blipFill>
                  <pic:spPr>
                    <a:xfrm>
                      <a:off x="0" y="0"/>
                      <a:ext cx="5257165" cy="3902075"/>
                    </a:xfrm>
                    <a:prstGeom prst="rect">
                      <a:avLst/>
                    </a:prstGeom>
                    <a:noFill/>
                    <a:ln>
                      <a:noFill/>
                    </a:ln>
                  </pic:spPr>
                </pic:pic>
              </a:graphicData>
            </a:graphic>
          </wp:inline>
        </w:drawing>
      </w:r>
    </w:p>
    <w:p>
      <w:pPr>
        <w:spacing w:before="156" w:beforeLines="50" w:after="156" w:afterLines="50" w:line="300" w:lineRule="auto"/>
        <w:jc w:val="center"/>
        <w:rPr>
          <w:rFonts w:hint="default" w:eastAsia="仿宋"/>
          <w:snapToGrid w:val="0"/>
          <w:color w:val="000000" w:themeColor="text1"/>
          <w:kern w:val="0"/>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图3c</w:t>
      </w:r>
      <w:r>
        <w:rPr>
          <w:rFonts w:hint="eastAsia" w:eastAsia="仿宋" w:cs="Times New Roman"/>
          <w:snapToGrid w:val="0"/>
          <w:color w:val="000000" w:themeColor="text1"/>
          <w:kern w:val="0"/>
          <w:sz w:val="28"/>
          <w:szCs w:val="28"/>
          <w:highlight w:val="none"/>
          <w:lang w:eastAsia="zh-CN"/>
          <w14:textFill>
            <w14:solidFill>
              <w14:schemeClr w14:val="tx1"/>
            </w14:solidFill>
          </w14:textFill>
        </w:rPr>
        <w:t>：</w:t>
      </w:r>
      <w:r>
        <w:rPr>
          <w:rFonts w:hint="default" w:eastAsia="仿宋"/>
          <w:snapToGrid w:val="0"/>
          <w:color w:val="000000" w:themeColor="text1"/>
          <w:kern w:val="0"/>
          <w:sz w:val="28"/>
          <w:szCs w:val="28"/>
          <w:highlight w:val="none"/>
          <w14:textFill>
            <w14:solidFill>
              <w14:schemeClr w14:val="tx1"/>
            </w14:solidFill>
          </w14:textFill>
        </w:rPr>
        <w:t>粉尘和雾的起始浓度为1 mg/L/4 h的试验程序</w:t>
      </w:r>
      <w:r>
        <w:rPr>
          <w:rFonts w:hint="default" w:eastAsia="仿宋"/>
          <w:snapToGrid w:val="0"/>
          <w:color w:val="000000" w:themeColor="text1"/>
          <w:kern w:val="0"/>
          <w:sz w:val="28"/>
          <w:szCs w:val="28"/>
          <w:highlight w:val="none"/>
          <w14:textFill>
            <w14:solidFill>
              <w14:schemeClr w14:val="tx1"/>
            </w14:solidFill>
          </w14:textFill>
        </w:rPr>
        <w:drawing>
          <wp:inline distT="0" distB="0" distL="114300" distR="114300">
            <wp:extent cx="5257165" cy="3837940"/>
            <wp:effectExtent l="0" t="0" r="635" b="10160"/>
            <wp:docPr id="16" name="图片 12" descr="5 mg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5 mg C"/>
                    <pic:cNvPicPr>
                      <a:picLocks noChangeAspect="1"/>
                    </pic:cNvPicPr>
                  </pic:nvPicPr>
                  <pic:blipFill>
                    <a:blip r:embed="rId15"/>
                    <a:stretch>
                      <a:fillRect/>
                    </a:stretch>
                  </pic:blipFill>
                  <pic:spPr>
                    <a:xfrm>
                      <a:off x="0" y="0"/>
                      <a:ext cx="5257165" cy="3837940"/>
                    </a:xfrm>
                    <a:prstGeom prst="rect">
                      <a:avLst/>
                    </a:prstGeom>
                    <a:noFill/>
                    <a:ln>
                      <a:noFill/>
                    </a:ln>
                  </pic:spPr>
                </pic:pic>
              </a:graphicData>
            </a:graphic>
          </wp:inline>
        </w:drawing>
      </w:r>
    </w:p>
    <w:p>
      <w:pPr>
        <w:spacing w:before="156" w:beforeLines="50" w:after="156" w:afterLines="50" w:line="300" w:lineRule="auto"/>
        <w:jc w:val="center"/>
        <w:rPr>
          <w:rFonts w:hint="default" w:eastAsia="仿宋"/>
          <w:color w:val="000000" w:themeColor="text1"/>
          <w:sz w:val="28"/>
          <w:szCs w:val="28"/>
          <w:highlight w:val="none"/>
          <w14:textFill>
            <w14:solidFill>
              <w14:schemeClr w14:val="tx1"/>
            </w14:solidFill>
          </w14:textFill>
        </w:rPr>
      </w:pPr>
      <w:r>
        <w:rPr>
          <w:rFonts w:hint="default" w:eastAsia="仿宋"/>
          <w:snapToGrid w:val="0"/>
          <w:color w:val="000000" w:themeColor="text1"/>
          <w:kern w:val="0"/>
          <w:sz w:val="28"/>
          <w:szCs w:val="28"/>
          <w:highlight w:val="none"/>
          <w14:textFill>
            <w14:solidFill>
              <w14:schemeClr w14:val="tx1"/>
            </w14:solidFill>
          </w14:textFill>
        </w:rPr>
        <w:t>图3d：粉尘和雾的起始浓度为5 mg/L/4 h的试验程序</w:t>
      </w:r>
    </w:p>
    <w:sectPr>
      <w:footerReference r:id="rId4" w:type="first"/>
      <w:footerReference r:id="rId3" w:type="default"/>
      <w:pgSz w:w="11906" w:h="16838"/>
      <w:pgMar w:top="1758" w:right="1588" w:bottom="1440" w:left="1588"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E08061-5273-49A1-BEBA-5EF9BF7FD3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2" w:fontKey="{C4D74CBE-4C78-4A6E-87AA-2F60B01AF0A7}"/>
  </w:font>
  <w:font w:name="仿宋">
    <w:panose1 w:val="02010609060101010101"/>
    <w:charset w:val="86"/>
    <w:family w:val="auto"/>
    <w:pitch w:val="default"/>
    <w:sig w:usb0="800002BF" w:usb1="38CF7CFA" w:usb2="00000016" w:usb3="00000000" w:csb0="00040001" w:csb1="00000000"/>
    <w:embedRegular r:id="rId3" w:fontKey="{62967BF9-56A4-4DB5-BF93-BF5FF5E050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K+uY8kBAACa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cROuKXHc4sTPP3+cf/05//5O&#10;rrM+fYAa0+4DJqbhnR8wd/YDOjPtQUWbv0iIYBzVPV3UlUMiIj9aLVerCkMCY/MF8dnD8xAhvZfe&#10;kmw0NOL4iqr8+BHSmDqn5GrO32ljygiN+8eBmNnDcu9jj9lKw26YCO18e0I+PU6+oQ4XnRLzwaGw&#10;eUlmI87GbjYOIep9V7Yo14Nwe0jYROktVxhhp8I4ssJuWq+8E4/vJevh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0r65jyQEAAJoDAAAOAAAAAAAAAAEAIAAAAB4BAABkcnMvZTJvRG9j&#10;LnhtbFBLBQYAAAAABgAGAFkBAABZ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0</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J+q5ckBAACa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cROuKXHc4sTPP3+cf/05//5O&#10;rrM+fYAa0+4DJqbhnR8wd/YDOjPtQUWbv0iIYBzVPV3UlUMiIj9aLVerCkMCY/MF8dnD8xAhvZfe&#10;kmw0NOL4iqr8+BHSmDqn5GrO32ljygiN+8eBmNnDcu9jj9lKw26YCO18e0I+PU6+oQ4XnRLzwaGw&#10;eUlmI87GbjYOIep9V7Yo14Nwe0jYROktVxhhp8I4ssJuWq+8E4/vJevh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n6rlyQEAAJoDAAAOAAAAAAAAAAEAIAAAAB4BAABkcnMvZTJvRG9j&#10;LnhtbFBLBQYAAAAABgAGAFkBAABZ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wNTAxY2M1N2U4MzQ5YTc0MDRjYWU4MzRkODU5NmEifQ=="/>
  </w:docVars>
  <w:rsids>
    <w:rsidRoot w:val="00FA60C8"/>
    <w:rsid w:val="00001ABB"/>
    <w:rsid w:val="000042B6"/>
    <w:rsid w:val="000059C6"/>
    <w:rsid w:val="00007FBB"/>
    <w:rsid w:val="00010C23"/>
    <w:rsid w:val="00012651"/>
    <w:rsid w:val="00012BD5"/>
    <w:rsid w:val="00013106"/>
    <w:rsid w:val="00013193"/>
    <w:rsid w:val="00015591"/>
    <w:rsid w:val="000157F2"/>
    <w:rsid w:val="00015F28"/>
    <w:rsid w:val="0001688E"/>
    <w:rsid w:val="00016F1E"/>
    <w:rsid w:val="000174B2"/>
    <w:rsid w:val="00017D5C"/>
    <w:rsid w:val="00017E30"/>
    <w:rsid w:val="00017F2E"/>
    <w:rsid w:val="0002024D"/>
    <w:rsid w:val="00020FC4"/>
    <w:rsid w:val="00022ABD"/>
    <w:rsid w:val="00022B6A"/>
    <w:rsid w:val="0002657E"/>
    <w:rsid w:val="0002738E"/>
    <w:rsid w:val="00035CF1"/>
    <w:rsid w:val="00035E1D"/>
    <w:rsid w:val="0003604A"/>
    <w:rsid w:val="0003672A"/>
    <w:rsid w:val="00036E06"/>
    <w:rsid w:val="00040C81"/>
    <w:rsid w:val="00041584"/>
    <w:rsid w:val="00041C4B"/>
    <w:rsid w:val="00042ACC"/>
    <w:rsid w:val="000442DC"/>
    <w:rsid w:val="00044736"/>
    <w:rsid w:val="00044857"/>
    <w:rsid w:val="000469CB"/>
    <w:rsid w:val="000474E2"/>
    <w:rsid w:val="00051189"/>
    <w:rsid w:val="0005118E"/>
    <w:rsid w:val="00051364"/>
    <w:rsid w:val="00052D95"/>
    <w:rsid w:val="00052F6F"/>
    <w:rsid w:val="00055789"/>
    <w:rsid w:val="00055D2E"/>
    <w:rsid w:val="00056D05"/>
    <w:rsid w:val="00056EC7"/>
    <w:rsid w:val="0005700E"/>
    <w:rsid w:val="00060242"/>
    <w:rsid w:val="0006049B"/>
    <w:rsid w:val="0006105B"/>
    <w:rsid w:val="0006232E"/>
    <w:rsid w:val="0006246B"/>
    <w:rsid w:val="000625CF"/>
    <w:rsid w:val="00062875"/>
    <w:rsid w:val="000630B8"/>
    <w:rsid w:val="0006331D"/>
    <w:rsid w:val="0006371D"/>
    <w:rsid w:val="00063766"/>
    <w:rsid w:val="00063907"/>
    <w:rsid w:val="000640F5"/>
    <w:rsid w:val="00064623"/>
    <w:rsid w:val="000674F6"/>
    <w:rsid w:val="00071507"/>
    <w:rsid w:val="00071619"/>
    <w:rsid w:val="00072776"/>
    <w:rsid w:val="00074BB2"/>
    <w:rsid w:val="00074CDB"/>
    <w:rsid w:val="000755C6"/>
    <w:rsid w:val="00076396"/>
    <w:rsid w:val="000769CD"/>
    <w:rsid w:val="00081D6C"/>
    <w:rsid w:val="00083080"/>
    <w:rsid w:val="0008397A"/>
    <w:rsid w:val="00085CF8"/>
    <w:rsid w:val="00085EFC"/>
    <w:rsid w:val="00086A7B"/>
    <w:rsid w:val="00087283"/>
    <w:rsid w:val="00090C58"/>
    <w:rsid w:val="000916EC"/>
    <w:rsid w:val="0009181D"/>
    <w:rsid w:val="00092955"/>
    <w:rsid w:val="00092EA7"/>
    <w:rsid w:val="00096DE8"/>
    <w:rsid w:val="000A2557"/>
    <w:rsid w:val="000A2989"/>
    <w:rsid w:val="000A35A9"/>
    <w:rsid w:val="000A4A9B"/>
    <w:rsid w:val="000A644C"/>
    <w:rsid w:val="000B1347"/>
    <w:rsid w:val="000B1F28"/>
    <w:rsid w:val="000B25B8"/>
    <w:rsid w:val="000B2610"/>
    <w:rsid w:val="000B2B55"/>
    <w:rsid w:val="000B3D92"/>
    <w:rsid w:val="000B59AB"/>
    <w:rsid w:val="000B71DF"/>
    <w:rsid w:val="000C0393"/>
    <w:rsid w:val="000C04AB"/>
    <w:rsid w:val="000C10F2"/>
    <w:rsid w:val="000C1AC9"/>
    <w:rsid w:val="000C33C3"/>
    <w:rsid w:val="000C36B5"/>
    <w:rsid w:val="000C3B0E"/>
    <w:rsid w:val="000C52FE"/>
    <w:rsid w:val="000C5EFA"/>
    <w:rsid w:val="000C7222"/>
    <w:rsid w:val="000D043A"/>
    <w:rsid w:val="000D0FF0"/>
    <w:rsid w:val="000D34B5"/>
    <w:rsid w:val="000D3CB4"/>
    <w:rsid w:val="000D480C"/>
    <w:rsid w:val="000D584A"/>
    <w:rsid w:val="000D594E"/>
    <w:rsid w:val="000D5E15"/>
    <w:rsid w:val="000E062B"/>
    <w:rsid w:val="000E1D6D"/>
    <w:rsid w:val="000E2F0D"/>
    <w:rsid w:val="000E313D"/>
    <w:rsid w:val="000E37EA"/>
    <w:rsid w:val="000E42BD"/>
    <w:rsid w:val="000E4D15"/>
    <w:rsid w:val="000E5662"/>
    <w:rsid w:val="000E734D"/>
    <w:rsid w:val="000F36EA"/>
    <w:rsid w:val="000F73B9"/>
    <w:rsid w:val="00100F7E"/>
    <w:rsid w:val="001010C3"/>
    <w:rsid w:val="00101F08"/>
    <w:rsid w:val="00102373"/>
    <w:rsid w:val="00103768"/>
    <w:rsid w:val="001056B9"/>
    <w:rsid w:val="001065EC"/>
    <w:rsid w:val="00106705"/>
    <w:rsid w:val="0010681D"/>
    <w:rsid w:val="00107E72"/>
    <w:rsid w:val="00110412"/>
    <w:rsid w:val="0011055A"/>
    <w:rsid w:val="00110803"/>
    <w:rsid w:val="001114D7"/>
    <w:rsid w:val="00111606"/>
    <w:rsid w:val="001116C5"/>
    <w:rsid w:val="00111E9F"/>
    <w:rsid w:val="00112548"/>
    <w:rsid w:val="00113E58"/>
    <w:rsid w:val="0011611A"/>
    <w:rsid w:val="00116A14"/>
    <w:rsid w:val="00123EC7"/>
    <w:rsid w:val="00126CF1"/>
    <w:rsid w:val="0012746E"/>
    <w:rsid w:val="00127F5A"/>
    <w:rsid w:val="00132C1C"/>
    <w:rsid w:val="00135DB8"/>
    <w:rsid w:val="00135E13"/>
    <w:rsid w:val="00140248"/>
    <w:rsid w:val="0014036C"/>
    <w:rsid w:val="00140529"/>
    <w:rsid w:val="001406E0"/>
    <w:rsid w:val="001411B1"/>
    <w:rsid w:val="00141F99"/>
    <w:rsid w:val="00143245"/>
    <w:rsid w:val="001445A9"/>
    <w:rsid w:val="00145D31"/>
    <w:rsid w:val="00147CD3"/>
    <w:rsid w:val="00151D2D"/>
    <w:rsid w:val="00151F0B"/>
    <w:rsid w:val="0015210D"/>
    <w:rsid w:val="00153A0A"/>
    <w:rsid w:val="00155B20"/>
    <w:rsid w:val="00155BD2"/>
    <w:rsid w:val="001571B5"/>
    <w:rsid w:val="00160161"/>
    <w:rsid w:val="0016220C"/>
    <w:rsid w:val="00163FDB"/>
    <w:rsid w:val="00164644"/>
    <w:rsid w:val="00166AA0"/>
    <w:rsid w:val="00170FB2"/>
    <w:rsid w:val="0017200B"/>
    <w:rsid w:val="0017233C"/>
    <w:rsid w:val="00172352"/>
    <w:rsid w:val="00172761"/>
    <w:rsid w:val="00172D5F"/>
    <w:rsid w:val="00172F41"/>
    <w:rsid w:val="0017436A"/>
    <w:rsid w:val="00174EE1"/>
    <w:rsid w:val="00175431"/>
    <w:rsid w:val="0017736C"/>
    <w:rsid w:val="00177560"/>
    <w:rsid w:val="00180B83"/>
    <w:rsid w:val="0018153F"/>
    <w:rsid w:val="001815BE"/>
    <w:rsid w:val="00182509"/>
    <w:rsid w:val="001838FA"/>
    <w:rsid w:val="001839EB"/>
    <w:rsid w:val="00183D29"/>
    <w:rsid w:val="0018466C"/>
    <w:rsid w:val="0018674D"/>
    <w:rsid w:val="001876D9"/>
    <w:rsid w:val="00190639"/>
    <w:rsid w:val="00191471"/>
    <w:rsid w:val="00191976"/>
    <w:rsid w:val="00191A8A"/>
    <w:rsid w:val="00191B3E"/>
    <w:rsid w:val="00191F55"/>
    <w:rsid w:val="001937B0"/>
    <w:rsid w:val="00197C1F"/>
    <w:rsid w:val="00197F6C"/>
    <w:rsid w:val="001A2C5B"/>
    <w:rsid w:val="001A338E"/>
    <w:rsid w:val="001A352F"/>
    <w:rsid w:val="001A5D41"/>
    <w:rsid w:val="001A7286"/>
    <w:rsid w:val="001A78C3"/>
    <w:rsid w:val="001B09CE"/>
    <w:rsid w:val="001B0C6D"/>
    <w:rsid w:val="001B2AB7"/>
    <w:rsid w:val="001B2C7E"/>
    <w:rsid w:val="001B2DD5"/>
    <w:rsid w:val="001B2F5E"/>
    <w:rsid w:val="001B3B58"/>
    <w:rsid w:val="001B3F33"/>
    <w:rsid w:val="001B482A"/>
    <w:rsid w:val="001B486F"/>
    <w:rsid w:val="001B599B"/>
    <w:rsid w:val="001B5FA8"/>
    <w:rsid w:val="001B698E"/>
    <w:rsid w:val="001C0E0A"/>
    <w:rsid w:val="001C4602"/>
    <w:rsid w:val="001C4FCC"/>
    <w:rsid w:val="001C6504"/>
    <w:rsid w:val="001C7246"/>
    <w:rsid w:val="001D0CA7"/>
    <w:rsid w:val="001D38B5"/>
    <w:rsid w:val="001D6666"/>
    <w:rsid w:val="001D66DD"/>
    <w:rsid w:val="001E0F3E"/>
    <w:rsid w:val="001E1630"/>
    <w:rsid w:val="001E21C6"/>
    <w:rsid w:val="001E2F20"/>
    <w:rsid w:val="001E303E"/>
    <w:rsid w:val="001F0DF9"/>
    <w:rsid w:val="001F22C3"/>
    <w:rsid w:val="001F2881"/>
    <w:rsid w:val="001F3436"/>
    <w:rsid w:val="001F43B8"/>
    <w:rsid w:val="001F50DE"/>
    <w:rsid w:val="001F5A3B"/>
    <w:rsid w:val="001F5C11"/>
    <w:rsid w:val="001F5E83"/>
    <w:rsid w:val="001F7513"/>
    <w:rsid w:val="00203E57"/>
    <w:rsid w:val="00204F81"/>
    <w:rsid w:val="002065E4"/>
    <w:rsid w:val="00206B4E"/>
    <w:rsid w:val="002072D4"/>
    <w:rsid w:val="00207986"/>
    <w:rsid w:val="00210D1B"/>
    <w:rsid w:val="00211C0E"/>
    <w:rsid w:val="00211C98"/>
    <w:rsid w:val="0021268C"/>
    <w:rsid w:val="00213057"/>
    <w:rsid w:val="002138E2"/>
    <w:rsid w:val="00214621"/>
    <w:rsid w:val="002167B2"/>
    <w:rsid w:val="00217072"/>
    <w:rsid w:val="00220611"/>
    <w:rsid w:val="0022072C"/>
    <w:rsid w:val="002209C6"/>
    <w:rsid w:val="002209DD"/>
    <w:rsid w:val="00220FE6"/>
    <w:rsid w:val="002215C7"/>
    <w:rsid w:val="0022201D"/>
    <w:rsid w:val="002246A6"/>
    <w:rsid w:val="00224A19"/>
    <w:rsid w:val="00225378"/>
    <w:rsid w:val="00225CBD"/>
    <w:rsid w:val="002268F5"/>
    <w:rsid w:val="00227478"/>
    <w:rsid w:val="00227619"/>
    <w:rsid w:val="00227F95"/>
    <w:rsid w:val="0023025E"/>
    <w:rsid w:val="00230B74"/>
    <w:rsid w:val="00231DE3"/>
    <w:rsid w:val="00233232"/>
    <w:rsid w:val="0023369E"/>
    <w:rsid w:val="002338B4"/>
    <w:rsid w:val="00233F27"/>
    <w:rsid w:val="0023414F"/>
    <w:rsid w:val="0023610A"/>
    <w:rsid w:val="0024004C"/>
    <w:rsid w:val="00240CB1"/>
    <w:rsid w:val="00240D5B"/>
    <w:rsid w:val="00241810"/>
    <w:rsid w:val="00243C91"/>
    <w:rsid w:val="00245945"/>
    <w:rsid w:val="00245AB5"/>
    <w:rsid w:val="00245F7A"/>
    <w:rsid w:val="0024730F"/>
    <w:rsid w:val="00247E57"/>
    <w:rsid w:val="002504B8"/>
    <w:rsid w:val="00252058"/>
    <w:rsid w:val="002535CE"/>
    <w:rsid w:val="00253B34"/>
    <w:rsid w:val="00253DDA"/>
    <w:rsid w:val="002542D2"/>
    <w:rsid w:val="00256BE4"/>
    <w:rsid w:val="00257702"/>
    <w:rsid w:val="00257A6B"/>
    <w:rsid w:val="0026166B"/>
    <w:rsid w:val="002617ED"/>
    <w:rsid w:val="00261B58"/>
    <w:rsid w:val="002628C0"/>
    <w:rsid w:val="00263B19"/>
    <w:rsid w:val="00264519"/>
    <w:rsid w:val="00264532"/>
    <w:rsid w:val="00264BD1"/>
    <w:rsid w:val="00264FFB"/>
    <w:rsid w:val="0026536E"/>
    <w:rsid w:val="002663BD"/>
    <w:rsid w:val="00267CDE"/>
    <w:rsid w:val="00270F9E"/>
    <w:rsid w:val="00271CA4"/>
    <w:rsid w:val="00271DDF"/>
    <w:rsid w:val="00272A6A"/>
    <w:rsid w:val="00274B2F"/>
    <w:rsid w:val="00275344"/>
    <w:rsid w:val="00275CA4"/>
    <w:rsid w:val="00276D1B"/>
    <w:rsid w:val="00277199"/>
    <w:rsid w:val="002773FE"/>
    <w:rsid w:val="00277CFF"/>
    <w:rsid w:val="002804A6"/>
    <w:rsid w:val="0028071A"/>
    <w:rsid w:val="002832DE"/>
    <w:rsid w:val="00284410"/>
    <w:rsid w:val="00284910"/>
    <w:rsid w:val="00284BC2"/>
    <w:rsid w:val="00284F7A"/>
    <w:rsid w:val="002851D8"/>
    <w:rsid w:val="00286250"/>
    <w:rsid w:val="00287805"/>
    <w:rsid w:val="002912F2"/>
    <w:rsid w:val="0029250B"/>
    <w:rsid w:val="002A1D17"/>
    <w:rsid w:val="002A2E87"/>
    <w:rsid w:val="002B0E7F"/>
    <w:rsid w:val="002B1F37"/>
    <w:rsid w:val="002B2110"/>
    <w:rsid w:val="002B23BC"/>
    <w:rsid w:val="002B2E3C"/>
    <w:rsid w:val="002B3010"/>
    <w:rsid w:val="002B3090"/>
    <w:rsid w:val="002C0327"/>
    <w:rsid w:val="002C06C4"/>
    <w:rsid w:val="002C1454"/>
    <w:rsid w:val="002C16DC"/>
    <w:rsid w:val="002C1BEB"/>
    <w:rsid w:val="002C3195"/>
    <w:rsid w:val="002C484F"/>
    <w:rsid w:val="002D083D"/>
    <w:rsid w:val="002D083F"/>
    <w:rsid w:val="002D092F"/>
    <w:rsid w:val="002D52EB"/>
    <w:rsid w:val="002D628E"/>
    <w:rsid w:val="002D7458"/>
    <w:rsid w:val="002D75B5"/>
    <w:rsid w:val="002E0AEC"/>
    <w:rsid w:val="002E1050"/>
    <w:rsid w:val="002E19C2"/>
    <w:rsid w:val="002E2ED6"/>
    <w:rsid w:val="002E3223"/>
    <w:rsid w:val="002E3BD2"/>
    <w:rsid w:val="002E4666"/>
    <w:rsid w:val="002E6A42"/>
    <w:rsid w:val="002E6C0F"/>
    <w:rsid w:val="002E745A"/>
    <w:rsid w:val="002F1E1D"/>
    <w:rsid w:val="002F2CC3"/>
    <w:rsid w:val="002F2D18"/>
    <w:rsid w:val="002F378A"/>
    <w:rsid w:val="002F3CD8"/>
    <w:rsid w:val="002F3CE0"/>
    <w:rsid w:val="002F593F"/>
    <w:rsid w:val="002F77DE"/>
    <w:rsid w:val="002F7DF7"/>
    <w:rsid w:val="002F7FB2"/>
    <w:rsid w:val="00303106"/>
    <w:rsid w:val="00303319"/>
    <w:rsid w:val="003048F0"/>
    <w:rsid w:val="00305C83"/>
    <w:rsid w:val="003061E8"/>
    <w:rsid w:val="003074DA"/>
    <w:rsid w:val="0030775E"/>
    <w:rsid w:val="00310AC0"/>
    <w:rsid w:val="003119F1"/>
    <w:rsid w:val="00311BB2"/>
    <w:rsid w:val="003121E6"/>
    <w:rsid w:val="00312853"/>
    <w:rsid w:val="00314EBC"/>
    <w:rsid w:val="00315C90"/>
    <w:rsid w:val="00316303"/>
    <w:rsid w:val="00320126"/>
    <w:rsid w:val="00320F8C"/>
    <w:rsid w:val="003226A6"/>
    <w:rsid w:val="003231B2"/>
    <w:rsid w:val="003239E5"/>
    <w:rsid w:val="0032526F"/>
    <w:rsid w:val="00325328"/>
    <w:rsid w:val="00327B3B"/>
    <w:rsid w:val="00331F3C"/>
    <w:rsid w:val="00332BD2"/>
    <w:rsid w:val="00335EC2"/>
    <w:rsid w:val="0034031A"/>
    <w:rsid w:val="00340355"/>
    <w:rsid w:val="00341353"/>
    <w:rsid w:val="00341C3B"/>
    <w:rsid w:val="00341D57"/>
    <w:rsid w:val="00343E89"/>
    <w:rsid w:val="00345247"/>
    <w:rsid w:val="0035031B"/>
    <w:rsid w:val="00350F32"/>
    <w:rsid w:val="00353048"/>
    <w:rsid w:val="00353439"/>
    <w:rsid w:val="003538A0"/>
    <w:rsid w:val="00353BEC"/>
    <w:rsid w:val="0035480F"/>
    <w:rsid w:val="00354F0E"/>
    <w:rsid w:val="003555C9"/>
    <w:rsid w:val="00355AC8"/>
    <w:rsid w:val="00355D6F"/>
    <w:rsid w:val="003562FF"/>
    <w:rsid w:val="003620C4"/>
    <w:rsid w:val="0036326B"/>
    <w:rsid w:val="00363555"/>
    <w:rsid w:val="00363879"/>
    <w:rsid w:val="0036525B"/>
    <w:rsid w:val="00365B8D"/>
    <w:rsid w:val="003662C1"/>
    <w:rsid w:val="00366935"/>
    <w:rsid w:val="003679AC"/>
    <w:rsid w:val="00371222"/>
    <w:rsid w:val="003724C6"/>
    <w:rsid w:val="00374882"/>
    <w:rsid w:val="00375D67"/>
    <w:rsid w:val="00376139"/>
    <w:rsid w:val="00377DD7"/>
    <w:rsid w:val="00381040"/>
    <w:rsid w:val="00382C3C"/>
    <w:rsid w:val="00382ECB"/>
    <w:rsid w:val="00383188"/>
    <w:rsid w:val="003833B1"/>
    <w:rsid w:val="0038399F"/>
    <w:rsid w:val="00386CEC"/>
    <w:rsid w:val="00390375"/>
    <w:rsid w:val="00390AF1"/>
    <w:rsid w:val="00391EC6"/>
    <w:rsid w:val="00391F9B"/>
    <w:rsid w:val="003A17F5"/>
    <w:rsid w:val="003A20A0"/>
    <w:rsid w:val="003A21B8"/>
    <w:rsid w:val="003A3E42"/>
    <w:rsid w:val="003A5271"/>
    <w:rsid w:val="003A60C2"/>
    <w:rsid w:val="003A759C"/>
    <w:rsid w:val="003A7EA5"/>
    <w:rsid w:val="003B0176"/>
    <w:rsid w:val="003B0618"/>
    <w:rsid w:val="003B0E8A"/>
    <w:rsid w:val="003B245D"/>
    <w:rsid w:val="003B24D3"/>
    <w:rsid w:val="003B2873"/>
    <w:rsid w:val="003B4E99"/>
    <w:rsid w:val="003B5FE5"/>
    <w:rsid w:val="003B60CE"/>
    <w:rsid w:val="003B63CF"/>
    <w:rsid w:val="003B79DC"/>
    <w:rsid w:val="003C0BF2"/>
    <w:rsid w:val="003C1028"/>
    <w:rsid w:val="003C1812"/>
    <w:rsid w:val="003C1F4F"/>
    <w:rsid w:val="003C7258"/>
    <w:rsid w:val="003D0E24"/>
    <w:rsid w:val="003D1A75"/>
    <w:rsid w:val="003D2CF4"/>
    <w:rsid w:val="003D32A9"/>
    <w:rsid w:val="003D3E50"/>
    <w:rsid w:val="003D4859"/>
    <w:rsid w:val="003D5DA4"/>
    <w:rsid w:val="003D6239"/>
    <w:rsid w:val="003D70F5"/>
    <w:rsid w:val="003E071F"/>
    <w:rsid w:val="003E0EF2"/>
    <w:rsid w:val="003E2995"/>
    <w:rsid w:val="003E5754"/>
    <w:rsid w:val="003E6691"/>
    <w:rsid w:val="003E7E05"/>
    <w:rsid w:val="003F0571"/>
    <w:rsid w:val="003F1CF4"/>
    <w:rsid w:val="003F2EFC"/>
    <w:rsid w:val="003F465A"/>
    <w:rsid w:val="003F575F"/>
    <w:rsid w:val="00401C38"/>
    <w:rsid w:val="0040285A"/>
    <w:rsid w:val="00402AD6"/>
    <w:rsid w:val="00402C9D"/>
    <w:rsid w:val="00402E09"/>
    <w:rsid w:val="00403A12"/>
    <w:rsid w:val="004049BF"/>
    <w:rsid w:val="00405AE4"/>
    <w:rsid w:val="00406302"/>
    <w:rsid w:val="00407948"/>
    <w:rsid w:val="0041095C"/>
    <w:rsid w:val="004136FD"/>
    <w:rsid w:val="004150F1"/>
    <w:rsid w:val="00415B93"/>
    <w:rsid w:val="00416F10"/>
    <w:rsid w:val="004177CC"/>
    <w:rsid w:val="00417AAF"/>
    <w:rsid w:val="004204DB"/>
    <w:rsid w:val="004212C8"/>
    <w:rsid w:val="00421301"/>
    <w:rsid w:val="00421793"/>
    <w:rsid w:val="00421DEB"/>
    <w:rsid w:val="0042278D"/>
    <w:rsid w:val="00423BBF"/>
    <w:rsid w:val="00423D66"/>
    <w:rsid w:val="0042435A"/>
    <w:rsid w:val="004253AE"/>
    <w:rsid w:val="0042630C"/>
    <w:rsid w:val="004264B5"/>
    <w:rsid w:val="004276DC"/>
    <w:rsid w:val="00427A8D"/>
    <w:rsid w:val="00430E19"/>
    <w:rsid w:val="00432C89"/>
    <w:rsid w:val="00435324"/>
    <w:rsid w:val="00435876"/>
    <w:rsid w:val="00436B83"/>
    <w:rsid w:val="00437416"/>
    <w:rsid w:val="00437625"/>
    <w:rsid w:val="00437B2A"/>
    <w:rsid w:val="0044057D"/>
    <w:rsid w:val="004417AF"/>
    <w:rsid w:val="00441ABE"/>
    <w:rsid w:val="00441AE1"/>
    <w:rsid w:val="00441B0D"/>
    <w:rsid w:val="004429F9"/>
    <w:rsid w:val="00445290"/>
    <w:rsid w:val="0044579B"/>
    <w:rsid w:val="00445AC7"/>
    <w:rsid w:val="004460C6"/>
    <w:rsid w:val="0044643E"/>
    <w:rsid w:val="00450A38"/>
    <w:rsid w:val="00452915"/>
    <w:rsid w:val="004529AB"/>
    <w:rsid w:val="004539ED"/>
    <w:rsid w:val="00453B18"/>
    <w:rsid w:val="004556E0"/>
    <w:rsid w:val="00455B69"/>
    <w:rsid w:val="004567DE"/>
    <w:rsid w:val="00457958"/>
    <w:rsid w:val="00457A16"/>
    <w:rsid w:val="00460407"/>
    <w:rsid w:val="00460ED9"/>
    <w:rsid w:val="00461D91"/>
    <w:rsid w:val="00463706"/>
    <w:rsid w:val="0046423F"/>
    <w:rsid w:val="0046428C"/>
    <w:rsid w:val="0046540A"/>
    <w:rsid w:val="00465C9A"/>
    <w:rsid w:val="00467813"/>
    <w:rsid w:val="00475A00"/>
    <w:rsid w:val="004803A9"/>
    <w:rsid w:val="004813B9"/>
    <w:rsid w:val="00481ED9"/>
    <w:rsid w:val="004835F6"/>
    <w:rsid w:val="00483917"/>
    <w:rsid w:val="0048494D"/>
    <w:rsid w:val="00484FE5"/>
    <w:rsid w:val="004852D0"/>
    <w:rsid w:val="004858E6"/>
    <w:rsid w:val="00485AEC"/>
    <w:rsid w:val="00485F0B"/>
    <w:rsid w:val="0048679B"/>
    <w:rsid w:val="004878D5"/>
    <w:rsid w:val="00492267"/>
    <w:rsid w:val="004930ED"/>
    <w:rsid w:val="00493597"/>
    <w:rsid w:val="00495A48"/>
    <w:rsid w:val="00495DC4"/>
    <w:rsid w:val="00496C89"/>
    <w:rsid w:val="00497F09"/>
    <w:rsid w:val="004A03C4"/>
    <w:rsid w:val="004A0CF9"/>
    <w:rsid w:val="004A27C6"/>
    <w:rsid w:val="004A288A"/>
    <w:rsid w:val="004A42BB"/>
    <w:rsid w:val="004A4497"/>
    <w:rsid w:val="004A5172"/>
    <w:rsid w:val="004A5275"/>
    <w:rsid w:val="004A7BC2"/>
    <w:rsid w:val="004B070B"/>
    <w:rsid w:val="004B1376"/>
    <w:rsid w:val="004B47F6"/>
    <w:rsid w:val="004B56C8"/>
    <w:rsid w:val="004B61BF"/>
    <w:rsid w:val="004B6CE0"/>
    <w:rsid w:val="004C001B"/>
    <w:rsid w:val="004C0F93"/>
    <w:rsid w:val="004C10C8"/>
    <w:rsid w:val="004C294E"/>
    <w:rsid w:val="004C4977"/>
    <w:rsid w:val="004C5223"/>
    <w:rsid w:val="004C6904"/>
    <w:rsid w:val="004C7D83"/>
    <w:rsid w:val="004D089B"/>
    <w:rsid w:val="004D18CC"/>
    <w:rsid w:val="004D4BD5"/>
    <w:rsid w:val="004D5BD4"/>
    <w:rsid w:val="004E2715"/>
    <w:rsid w:val="004E4776"/>
    <w:rsid w:val="004E558B"/>
    <w:rsid w:val="004E7B23"/>
    <w:rsid w:val="004F01CE"/>
    <w:rsid w:val="004F27D3"/>
    <w:rsid w:val="004F3A14"/>
    <w:rsid w:val="004F456F"/>
    <w:rsid w:val="004F585D"/>
    <w:rsid w:val="004F5D44"/>
    <w:rsid w:val="004F6793"/>
    <w:rsid w:val="004F7A20"/>
    <w:rsid w:val="00501487"/>
    <w:rsid w:val="005025DE"/>
    <w:rsid w:val="005031C8"/>
    <w:rsid w:val="00503780"/>
    <w:rsid w:val="00503DDB"/>
    <w:rsid w:val="00503E4F"/>
    <w:rsid w:val="005040B2"/>
    <w:rsid w:val="00511767"/>
    <w:rsid w:val="0051219A"/>
    <w:rsid w:val="00513BBC"/>
    <w:rsid w:val="00514057"/>
    <w:rsid w:val="005145BF"/>
    <w:rsid w:val="00517C74"/>
    <w:rsid w:val="00522046"/>
    <w:rsid w:val="00522D13"/>
    <w:rsid w:val="0052300E"/>
    <w:rsid w:val="00523EB0"/>
    <w:rsid w:val="00523EE1"/>
    <w:rsid w:val="00525DE2"/>
    <w:rsid w:val="005260D2"/>
    <w:rsid w:val="00526408"/>
    <w:rsid w:val="005265C4"/>
    <w:rsid w:val="00526E32"/>
    <w:rsid w:val="00530949"/>
    <w:rsid w:val="00530AD1"/>
    <w:rsid w:val="00533A85"/>
    <w:rsid w:val="00533CA7"/>
    <w:rsid w:val="00534E82"/>
    <w:rsid w:val="00535B1D"/>
    <w:rsid w:val="005368E1"/>
    <w:rsid w:val="005369F4"/>
    <w:rsid w:val="0053731E"/>
    <w:rsid w:val="00541D78"/>
    <w:rsid w:val="0054225C"/>
    <w:rsid w:val="005427B9"/>
    <w:rsid w:val="00542B2B"/>
    <w:rsid w:val="005439D5"/>
    <w:rsid w:val="0054633B"/>
    <w:rsid w:val="00546A74"/>
    <w:rsid w:val="00546FE0"/>
    <w:rsid w:val="005504E5"/>
    <w:rsid w:val="005510F0"/>
    <w:rsid w:val="005517B5"/>
    <w:rsid w:val="00551942"/>
    <w:rsid w:val="00551BC8"/>
    <w:rsid w:val="00551E13"/>
    <w:rsid w:val="0055334D"/>
    <w:rsid w:val="005537FD"/>
    <w:rsid w:val="005540A2"/>
    <w:rsid w:val="00554106"/>
    <w:rsid w:val="00554679"/>
    <w:rsid w:val="0055607D"/>
    <w:rsid w:val="00556538"/>
    <w:rsid w:val="0055653B"/>
    <w:rsid w:val="00556975"/>
    <w:rsid w:val="0055781D"/>
    <w:rsid w:val="005601F4"/>
    <w:rsid w:val="005633B9"/>
    <w:rsid w:val="00564625"/>
    <w:rsid w:val="005647A1"/>
    <w:rsid w:val="00564D5A"/>
    <w:rsid w:val="005652DD"/>
    <w:rsid w:val="005652EE"/>
    <w:rsid w:val="0056661D"/>
    <w:rsid w:val="00566E2F"/>
    <w:rsid w:val="00567131"/>
    <w:rsid w:val="005678F9"/>
    <w:rsid w:val="00567CB0"/>
    <w:rsid w:val="0057107B"/>
    <w:rsid w:val="005711A8"/>
    <w:rsid w:val="0057256D"/>
    <w:rsid w:val="005731F9"/>
    <w:rsid w:val="00573281"/>
    <w:rsid w:val="00574F49"/>
    <w:rsid w:val="005762D6"/>
    <w:rsid w:val="00581359"/>
    <w:rsid w:val="00582FC4"/>
    <w:rsid w:val="005868CD"/>
    <w:rsid w:val="005870BA"/>
    <w:rsid w:val="00591DFA"/>
    <w:rsid w:val="005936DA"/>
    <w:rsid w:val="00593C49"/>
    <w:rsid w:val="0059482C"/>
    <w:rsid w:val="00596640"/>
    <w:rsid w:val="005979D1"/>
    <w:rsid w:val="00597A10"/>
    <w:rsid w:val="00597B25"/>
    <w:rsid w:val="00597FD7"/>
    <w:rsid w:val="005A05F4"/>
    <w:rsid w:val="005A1611"/>
    <w:rsid w:val="005A3BB6"/>
    <w:rsid w:val="005A43D2"/>
    <w:rsid w:val="005A5148"/>
    <w:rsid w:val="005A52FA"/>
    <w:rsid w:val="005A5679"/>
    <w:rsid w:val="005A5AB7"/>
    <w:rsid w:val="005B04FD"/>
    <w:rsid w:val="005B0EC3"/>
    <w:rsid w:val="005B1EC5"/>
    <w:rsid w:val="005B2515"/>
    <w:rsid w:val="005B3A15"/>
    <w:rsid w:val="005B4F7D"/>
    <w:rsid w:val="005B5B35"/>
    <w:rsid w:val="005B7D8C"/>
    <w:rsid w:val="005C0BD7"/>
    <w:rsid w:val="005C1836"/>
    <w:rsid w:val="005C183F"/>
    <w:rsid w:val="005C2C97"/>
    <w:rsid w:val="005C2FAF"/>
    <w:rsid w:val="005C3F57"/>
    <w:rsid w:val="005C431A"/>
    <w:rsid w:val="005C463A"/>
    <w:rsid w:val="005C5617"/>
    <w:rsid w:val="005C5652"/>
    <w:rsid w:val="005C7F17"/>
    <w:rsid w:val="005D04E4"/>
    <w:rsid w:val="005D1216"/>
    <w:rsid w:val="005D1D90"/>
    <w:rsid w:val="005D3860"/>
    <w:rsid w:val="005D42F2"/>
    <w:rsid w:val="005D6FAF"/>
    <w:rsid w:val="005D787A"/>
    <w:rsid w:val="005D7D24"/>
    <w:rsid w:val="005E16BA"/>
    <w:rsid w:val="005E268B"/>
    <w:rsid w:val="005E2BB0"/>
    <w:rsid w:val="005E494C"/>
    <w:rsid w:val="005E72D0"/>
    <w:rsid w:val="005E73AA"/>
    <w:rsid w:val="005E7595"/>
    <w:rsid w:val="005F09D4"/>
    <w:rsid w:val="005F1D13"/>
    <w:rsid w:val="005F2B3A"/>
    <w:rsid w:val="005F4ADA"/>
    <w:rsid w:val="005F6257"/>
    <w:rsid w:val="005F7AA5"/>
    <w:rsid w:val="00601C4F"/>
    <w:rsid w:val="00603893"/>
    <w:rsid w:val="00603AE9"/>
    <w:rsid w:val="00603E3E"/>
    <w:rsid w:val="00603E53"/>
    <w:rsid w:val="00603EDC"/>
    <w:rsid w:val="006073AB"/>
    <w:rsid w:val="006100A3"/>
    <w:rsid w:val="00610F32"/>
    <w:rsid w:val="00613950"/>
    <w:rsid w:val="00614E76"/>
    <w:rsid w:val="00616C27"/>
    <w:rsid w:val="006204E7"/>
    <w:rsid w:val="006214C3"/>
    <w:rsid w:val="006215E2"/>
    <w:rsid w:val="00622463"/>
    <w:rsid w:val="0062297E"/>
    <w:rsid w:val="006229B4"/>
    <w:rsid w:val="00622C14"/>
    <w:rsid w:val="0062520E"/>
    <w:rsid w:val="00630429"/>
    <w:rsid w:val="00631E4F"/>
    <w:rsid w:val="00632DA9"/>
    <w:rsid w:val="00632E3E"/>
    <w:rsid w:val="006330D4"/>
    <w:rsid w:val="00633D74"/>
    <w:rsid w:val="006349EF"/>
    <w:rsid w:val="00634BDF"/>
    <w:rsid w:val="00637AB1"/>
    <w:rsid w:val="00640583"/>
    <w:rsid w:val="006416A6"/>
    <w:rsid w:val="006427EC"/>
    <w:rsid w:val="00642DDA"/>
    <w:rsid w:val="00643691"/>
    <w:rsid w:val="00645154"/>
    <w:rsid w:val="006528CC"/>
    <w:rsid w:val="00653738"/>
    <w:rsid w:val="0065518B"/>
    <w:rsid w:val="0065537A"/>
    <w:rsid w:val="00655C0B"/>
    <w:rsid w:val="006564BC"/>
    <w:rsid w:val="00656AC8"/>
    <w:rsid w:val="00660DAA"/>
    <w:rsid w:val="00660ED4"/>
    <w:rsid w:val="006629D7"/>
    <w:rsid w:val="00662EF9"/>
    <w:rsid w:val="00663219"/>
    <w:rsid w:val="00663F93"/>
    <w:rsid w:val="00664FCD"/>
    <w:rsid w:val="006658AB"/>
    <w:rsid w:val="00665A5A"/>
    <w:rsid w:val="00665BF3"/>
    <w:rsid w:val="00671E82"/>
    <w:rsid w:val="006736A1"/>
    <w:rsid w:val="00673E15"/>
    <w:rsid w:val="00675873"/>
    <w:rsid w:val="00675EC1"/>
    <w:rsid w:val="006763E1"/>
    <w:rsid w:val="0067722F"/>
    <w:rsid w:val="00677528"/>
    <w:rsid w:val="0067791F"/>
    <w:rsid w:val="00677BAF"/>
    <w:rsid w:val="006804E9"/>
    <w:rsid w:val="00681751"/>
    <w:rsid w:val="006828AC"/>
    <w:rsid w:val="006830DF"/>
    <w:rsid w:val="006853D5"/>
    <w:rsid w:val="00685949"/>
    <w:rsid w:val="00685BF1"/>
    <w:rsid w:val="00685D63"/>
    <w:rsid w:val="00686173"/>
    <w:rsid w:val="00686E84"/>
    <w:rsid w:val="00690209"/>
    <w:rsid w:val="00691277"/>
    <w:rsid w:val="0069350F"/>
    <w:rsid w:val="006946AF"/>
    <w:rsid w:val="0069484F"/>
    <w:rsid w:val="006948A9"/>
    <w:rsid w:val="006950B5"/>
    <w:rsid w:val="006971C1"/>
    <w:rsid w:val="006979A4"/>
    <w:rsid w:val="006A4160"/>
    <w:rsid w:val="006A4F50"/>
    <w:rsid w:val="006A62D3"/>
    <w:rsid w:val="006B0DF2"/>
    <w:rsid w:val="006B1286"/>
    <w:rsid w:val="006B68CA"/>
    <w:rsid w:val="006B7725"/>
    <w:rsid w:val="006B7874"/>
    <w:rsid w:val="006B79B9"/>
    <w:rsid w:val="006C163E"/>
    <w:rsid w:val="006C1B88"/>
    <w:rsid w:val="006C2925"/>
    <w:rsid w:val="006C2B58"/>
    <w:rsid w:val="006C3772"/>
    <w:rsid w:val="006C4091"/>
    <w:rsid w:val="006C42E5"/>
    <w:rsid w:val="006C6FBE"/>
    <w:rsid w:val="006C7B4D"/>
    <w:rsid w:val="006D367B"/>
    <w:rsid w:val="006D4262"/>
    <w:rsid w:val="006D4C06"/>
    <w:rsid w:val="006D5B68"/>
    <w:rsid w:val="006D63B4"/>
    <w:rsid w:val="006D6514"/>
    <w:rsid w:val="006D6D26"/>
    <w:rsid w:val="006D72E1"/>
    <w:rsid w:val="006D76FF"/>
    <w:rsid w:val="006D7AA1"/>
    <w:rsid w:val="006D7D8B"/>
    <w:rsid w:val="006E1CCB"/>
    <w:rsid w:val="006E2339"/>
    <w:rsid w:val="006E2D83"/>
    <w:rsid w:val="006E5978"/>
    <w:rsid w:val="006E67ED"/>
    <w:rsid w:val="006E6A7E"/>
    <w:rsid w:val="006E6B07"/>
    <w:rsid w:val="006E6BF8"/>
    <w:rsid w:val="006E6C60"/>
    <w:rsid w:val="006E7611"/>
    <w:rsid w:val="006E7DC4"/>
    <w:rsid w:val="006F1D84"/>
    <w:rsid w:val="006F4F38"/>
    <w:rsid w:val="006F5A04"/>
    <w:rsid w:val="006F5FC2"/>
    <w:rsid w:val="006F6838"/>
    <w:rsid w:val="006F79DD"/>
    <w:rsid w:val="00700B30"/>
    <w:rsid w:val="0070105C"/>
    <w:rsid w:val="0070289F"/>
    <w:rsid w:val="00702A5C"/>
    <w:rsid w:val="007036DB"/>
    <w:rsid w:val="007038DE"/>
    <w:rsid w:val="00703930"/>
    <w:rsid w:val="007057EB"/>
    <w:rsid w:val="007061C6"/>
    <w:rsid w:val="00707296"/>
    <w:rsid w:val="007115AF"/>
    <w:rsid w:val="007121F3"/>
    <w:rsid w:val="007123D7"/>
    <w:rsid w:val="00712671"/>
    <w:rsid w:val="007145BC"/>
    <w:rsid w:val="00714CFC"/>
    <w:rsid w:val="00715290"/>
    <w:rsid w:val="00715338"/>
    <w:rsid w:val="0071534E"/>
    <w:rsid w:val="00716655"/>
    <w:rsid w:val="0072068C"/>
    <w:rsid w:val="00721B7F"/>
    <w:rsid w:val="00722220"/>
    <w:rsid w:val="007229AF"/>
    <w:rsid w:val="0072640B"/>
    <w:rsid w:val="00727597"/>
    <w:rsid w:val="0073124B"/>
    <w:rsid w:val="00731A9C"/>
    <w:rsid w:val="007322E8"/>
    <w:rsid w:val="007324E3"/>
    <w:rsid w:val="0073292A"/>
    <w:rsid w:val="007340C3"/>
    <w:rsid w:val="00734290"/>
    <w:rsid w:val="00734972"/>
    <w:rsid w:val="00734D17"/>
    <w:rsid w:val="0073531C"/>
    <w:rsid w:val="00735D1B"/>
    <w:rsid w:val="00736A70"/>
    <w:rsid w:val="00741260"/>
    <w:rsid w:val="0074136C"/>
    <w:rsid w:val="00741FB2"/>
    <w:rsid w:val="0074360B"/>
    <w:rsid w:val="00744A1E"/>
    <w:rsid w:val="00745344"/>
    <w:rsid w:val="007454FE"/>
    <w:rsid w:val="00746BB4"/>
    <w:rsid w:val="00746E04"/>
    <w:rsid w:val="00747E96"/>
    <w:rsid w:val="0075005B"/>
    <w:rsid w:val="00750D93"/>
    <w:rsid w:val="00751680"/>
    <w:rsid w:val="00751C93"/>
    <w:rsid w:val="0075222C"/>
    <w:rsid w:val="00752BFB"/>
    <w:rsid w:val="00754C8A"/>
    <w:rsid w:val="00754DF4"/>
    <w:rsid w:val="00757D8F"/>
    <w:rsid w:val="00761E59"/>
    <w:rsid w:val="00762933"/>
    <w:rsid w:val="00762A7B"/>
    <w:rsid w:val="00762CFF"/>
    <w:rsid w:val="007632E9"/>
    <w:rsid w:val="00764B73"/>
    <w:rsid w:val="00770040"/>
    <w:rsid w:val="0077081A"/>
    <w:rsid w:val="00773B3D"/>
    <w:rsid w:val="00776E0A"/>
    <w:rsid w:val="00777188"/>
    <w:rsid w:val="00777C56"/>
    <w:rsid w:val="007814EB"/>
    <w:rsid w:val="00784C96"/>
    <w:rsid w:val="0078555A"/>
    <w:rsid w:val="007867B9"/>
    <w:rsid w:val="00786B11"/>
    <w:rsid w:val="007877CE"/>
    <w:rsid w:val="00790535"/>
    <w:rsid w:val="00790545"/>
    <w:rsid w:val="00790B6C"/>
    <w:rsid w:val="007910B7"/>
    <w:rsid w:val="00792D04"/>
    <w:rsid w:val="00792EE8"/>
    <w:rsid w:val="00795449"/>
    <w:rsid w:val="00796D2B"/>
    <w:rsid w:val="007A030E"/>
    <w:rsid w:val="007A0998"/>
    <w:rsid w:val="007A1810"/>
    <w:rsid w:val="007A199F"/>
    <w:rsid w:val="007A1C22"/>
    <w:rsid w:val="007A3EE0"/>
    <w:rsid w:val="007A502A"/>
    <w:rsid w:val="007A51AD"/>
    <w:rsid w:val="007A7566"/>
    <w:rsid w:val="007A76FD"/>
    <w:rsid w:val="007B016E"/>
    <w:rsid w:val="007B0BFF"/>
    <w:rsid w:val="007B18B8"/>
    <w:rsid w:val="007B48A1"/>
    <w:rsid w:val="007B53BA"/>
    <w:rsid w:val="007B5F23"/>
    <w:rsid w:val="007B74BD"/>
    <w:rsid w:val="007B7986"/>
    <w:rsid w:val="007C0759"/>
    <w:rsid w:val="007C3DC9"/>
    <w:rsid w:val="007C4752"/>
    <w:rsid w:val="007C4A2E"/>
    <w:rsid w:val="007C7F39"/>
    <w:rsid w:val="007C7FAA"/>
    <w:rsid w:val="007D0BC2"/>
    <w:rsid w:val="007D5D0F"/>
    <w:rsid w:val="007D6244"/>
    <w:rsid w:val="007D728B"/>
    <w:rsid w:val="007D73C5"/>
    <w:rsid w:val="007D798D"/>
    <w:rsid w:val="007E1538"/>
    <w:rsid w:val="007E1D17"/>
    <w:rsid w:val="007E52C2"/>
    <w:rsid w:val="007E573D"/>
    <w:rsid w:val="007E7789"/>
    <w:rsid w:val="007E793E"/>
    <w:rsid w:val="007F196B"/>
    <w:rsid w:val="007F1E0C"/>
    <w:rsid w:val="007F211C"/>
    <w:rsid w:val="007F2777"/>
    <w:rsid w:val="007F2F67"/>
    <w:rsid w:val="007F3531"/>
    <w:rsid w:val="007F543A"/>
    <w:rsid w:val="0080173D"/>
    <w:rsid w:val="008047A1"/>
    <w:rsid w:val="00804F2E"/>
    <w:rsid w:val="00805EE0"/>
    <w:rsid w:val="0080601B"/>
    <w:rsid w:val="00806077"/>
    <w:rsid w:val="008102F1"/>
    <w:rsid w:val="008105F5"/>
    <w:rsid w:val="00810816"/>
    <w:rsid w:val="00810CB7"/>
    <w:rsid w:val="00811CB9"/>
    <w:rsid w:val="00812518"/>
    <w:rsid w:val="00812752"/>
    <w:rsid w:val="00812905"/>
    <w:rsid w:val="008129DE"/>
    <w:rsid w:val="00813BA9"/>
    <w:rsid w:val="00814795"/>
    <w:rsid w:val="00814C4E"/>
    <w:rsid w:val="008155FD"/>
    <w:rsid w:val="0081568D"/>
    <w:rsid w:val="00815B41"/>
    <w:rsid w:val="00816BD9"/>
    <w:rsid w:val="00816E13"/>
    <w:rsid w:val="00820F35"/>
    <w:rsid w:val="008217A6"/>
    <w:rsid w:val="008220AA"/>
    <w:rsid w:val="0082533F"/>
    <w:rsid w:val="008261E3"/>
    <w:rsid w:val="008269F4"/>
    <w:rsid w:val="00826F10"/>
    <w:rsid w:val="008311BF"/>
    <w:rsid w:val="0083178E"/>
    <w:rsid w:val="00833F99"/>
    <w:rsid w:val="00834EC2"/>
    <w:rsid w:val="00834F8F"/>
    <w:rsid w:val="00835B38"/>
    <w:rsid w:val="00841AF4"/>
    <w:rsid w:val="00841BC6"/>
    <w:rsid w:val="0084301C"/>
    <w:rsid w:val="00843827"/>
    <w:rsid w:val="00843C95"/>
    <w:rsid w:val="00846FEB"/>
    <w:rsid w:val="008500B7"/>
    <w:rsid w:val="00850AE9"/>
    <w:rsid w:val="008510E0"/>
    <w:rsid w:val="00851D69"/>
    <w:rsid w:val="00853F8B"/>
    <w:rsid w:val="00854D51"/>
    <w:rsid w:val="00856315"/>
    <w:rsid w:val="00856354"/>
    <w:rsid w:val="00857886"/>
    <w:rsid w:val="00860547"/>
    <w:rsid w:val="00860F32"/>
    <w:rsid w:val="00861D71"/>
    <w:rsid w:val="00861FB9"/>
    <w:rsid w:val="008628FE"/>
    <w:rsid w:val="00862B61"/>
    <w:rsid w:val="00863F1A"/>
    <w:rsid w:val="00864879"/>
    <w:rsid w:val="00864CD7"/>
    <w:rsid w:val="0086516A"/>
    <w:rsid w:val="00866AF9"/>
    <w:rsid w:val="00867458"/>
    <w:rsid w:val="00867BF9"/>
    <w:rsid w:val="00871AA5"/>
    <w:rsid w:val="00872C1A"/>
    <w:rsid w:val="00874859"/>
    <w:rsid w:val="00875424"/>
    <w:rsid w:val="00876E05"/>
    <w:rsid w:val="008771F0"/>
    <w:rsid w:val="00877233"/>
    <w:rsid w:val="00881BDF"/>
    <w:rsid w:val="008837AF"/>
    <w:rsid w:val="0088419F"/>
    <w:rsid w:val="00884EDA"/>
    <w:rsid w:val="008879C6"/>
    <w:rsid w:val="0089140B"/>
    <w:rsid w:val="008917FD"/>
    <w:rsid w:val="00892A2E"/>
    <w:rsid w:val="00892F69"/>
    <w:rsid w:val="00896263"/>
    <w:rsid w:val="00896FA1"/>
    <w:rsid w:val="00897804"/>
    <w:rsid w:val="008A1588"/>
    <w:rsid w:val="008A3F7E"/>
    <w:rsid w:val="008A4758"/>
    <w:rsid w:val="008A4A5A"/>
    <w:rsid w:val="008A4E2D"/>
    <w:rsid w:val="008A5155"/>
    <w:rsid w:val="008A5C1E"/>
    <w:rsid w:val="008A619D"/>
    <w:rsid w:val="008A76E3"/>
    <w:rsid w:val="008A7C08"/>
    <w:rsid w:val="008B0037"/>
    <w:rsid w:val="008B031E"/>
    <w:rsid w:val="008B0BB4"/>
    <w:rsid w:val="008B1BF3"/>
    <w:rsid w:val="008B2FAF"/>
    <w:rsid w:val="008B6A78"/>
    <w:rsid w:val="008B6AF7"/>
    <w:rsid w:val="008B7CA7"/>
    <w:rsid w:val="008C1086"/>
    <w:rsid w:val="008C2AD5"/>
    <w:rsid w:val="008C33E2"/>
    <w:rsid w:val="008C461A"/>
    <w:rsid w:val="008C4F8A"/>
    <w:rsid w:val="008C597A"/>
    <w:rsid w:val="008C6AEE"/>
    <w:rsid w:val="008D19E2"/>
    <w:rsid w:val="008D1CE6"/>
    <w:rsid w:val="008D1E44"/>
    <w:rsid w:val="008D252E"/>
    <w:rsid w:val="008D413F"/>
    <w:rsid w:val="008D5951"/>
    <w:rsid w:val="008D6825"/>
    <w:rsid w:val="008D6D7D"/>
    <w:rsid w:val="008E0168"/>
    <w:rsid w:val="008E0A35"/>
    <w:rsid w:val="008E4009"/>
    <w:rsid w:val="008E4F2D"/>
    <w:rsid w:val="008E6A6C"/>
    <w:rsid w:val="008E7017"/>
    <w:rsid w:val="008E774C"/>
    <w:rsid w:val="008F1590"/>
    <w:rsid w:val="008F18EA"/>
    <w:rsid w:val="008F323B"/>
    <w:rsid w:val="008F3EB8"/>
    <w:rsid w:val="008F5BE0"/>
    <w:rsid w:val="008F6002"/>
    <w:rsid w:val="008F7C97"/>
    <w:rsid w:val="009006A6"/>
    <w:rsid w:val="00900762"/>
    <w:rsid w:val="00901A2E"/>
    <w:rsid w:val="0090229F"/>
    <w:rsid w:val="009038F3"/>
    <w:rsid w:val="00903C24"/>
    <w:rsid w:val="0090459F"/>
    <w:rsid w:val="00905937"/>
    <w:rsid w:val="00905A31"/>
    <w:rsid w:val="00906546"/>
    <w:rsid w:val="00906F93"/>
    <w:rsid w:val="0090763E"/>
    <w:rsid w:val="00910ADD"/>
    <w:rsid w:val="009112BC"/>
    <w:rsid w:val="009117CA"/>
    <w:rsid w:val="009121CC"/>
    <w:rsid w:val="00912A5F"/>
    <w:rsid w:val="00912C12"/>
    <w:rsid w:val="00913345"/>
    <w:rsid w:val="0091465F"/>
    <w:rsid w:val="00914732"/>
    <w:rsid w:val="00924E30"/>
    <w:rsid w:val="00925121"/>
    <w:rsid w:val="00925776"/>
    <w:rsid w:val="00926229"/>
    <w:rsid w:val="00927D15"/>
    <w:rsid w:val="00927FF8"/>
    <w:rsid w:val="00930289"/>
    <w:rsid w:val="00931C0D"/>
    <w:rsid w:val="00932E32"/>
    <w:rsid w:val="009364EA"/>
    <w:rsid w:val="0093678A"/>
    <w:rsid w:val="00937D18"/>
    <w:rsid w:val="00940E27"/>
    <w:rsid w:val="009415AF"/>
    <w:rsid w:val="00942BED"/>
    <w:rsid w:val="0094329A"/>
    <w:rsid w:val="009435E9"/>
    <w:rsid w:val="0094378F"/>
    <w:rsid w:val="00944679"/>
    <w:rsid w:val="00944E31"/>
    <w:rsid w:val="00945269"/>
    <w:rsid w:val="00945342"/>
    <w:rsid w:val="009454C7"/>
    <w:rsid w:val="00945BC3"/>
    <w:rsid w:val="00946004"/>
    <w:rsid w:val="00946751"/>
    <w:rsid w:val="009479C9"/>
    <w:rsid w:val="00950384"/>
    <w:rsid w:val="00954BE1"/>
    <w:rsid w:val="009558B9"/>
    <w:rsid w:val="00955F0C"/>
    <w:rsid w:val="009560DA"/>
    <w:rsid w:val="00956CA0"/>
    <w:rsid w:val="00956D1B"/>
    <w:rsid w:val="00957F91"/>
    <w:rsid w:val="009600AE"/>
    <w:rsid w:val="00962080"/>
    <w:rsid w:val="009620D7"/>
    <w:rsid w:val="00962443"/>
    <w:rsid w:val="00962F6A"/>
    <w:rsid w:val="0096378D"/>
    <w:rsid w:val="0096380A"/>
    <w:rsid w:val="00964D33"/>
    <w:rsid w:val="009662C6"/>
    <w:rsid w:val="009670BD"/>
    <w:rsid w:val="00967A92"/>
    <w:rsid w:val="00967CD2"/>
    <w:rsid w:val="0097122C"/>
    <w:rsid w:val="00971521"/>
    <w:rsid w:val="0097354C"/>
    <w:rsid w:val="00973E8B"/>
    <w:rsid w:val="00974124"/>
    <w:rsid w:val="0097437D"/>
    <w:rsid w:val="00976667"/>
    <w:rsid w:val="00976C1C"/>
    <w:rsid w:val="00980CD7"/>
    <w:rsid w:val="00982A55"/>
    <w:rsid w:val="00983647"/>
    <w:rsid w:val="009838F6"/>
    <w:rsid w:val="009840ED"/>
    <w:rsid w:val="00984708"/>
    <w:rsid w:val="00984784"/>
    <w:rsid w:val="0098493B"/>
    <w:rsid w:val="00985064"/>
    <w:rsid w:val="0098535E"/>
    <w:rsid w:val="00987237"/>
    <w:rsid w:val="00987FDA"/>
    <w:rsid w:val="00991927"/>
    <w:rsid w:val="009924BA"/>
    <w:rsid w:val="00993445"/>
    <w:rsid w:val="0099402C"/>
    <w:rsid w:val="00995C16"/>
    <w:rsid w:val="009963D9"/>
    <w:rsid w:val="00996E95"/>
    <w:rsid w:val="009975A3"/>
    <w:rsid w:val="0099787B"/>
    <w:rsid w:val="00997AF4"/>
    <w:rsid w:val="00997BD8"/>
    <w:rsid w:val="009A07E4"/>
    <w:rsid w:val="009A0929"/>
    <w:rsid w:val="009A12D1"/>
    <w:rsid w:val="009A1659"/>
    <w:rsid w:val="009A2DB4"/>
    <w:rsid w:val="009A5DE9"/>
    <w:rsid w:val="009A759E"/>
    <w:rsid w:val="009B0BFB"/>
    <w:rsid w:val="009B0E40"/>
    <w:rsid w:val="009B1FB7"/>
    <w:rsid w:val="009B2153"/>
    <w:rsid w:val="009B2CD5"/>
    <w:rsid w:val="009B39E9"/>
    <w:rsid w:val="009B608B"/>
    <w:rsid w:val="009B7251"/>
    <w:rsid w:val="009C0B48"/>
    <w:rsid w:val="009C1F47"/>
    <w:rsid w:val="009C3232"/>
    <w:rsid w:val="009C5E43"/>
    <w:rsid w:val="009C732D"/>
    <w:rsid w:val="009C7657"/>
    <w:rsid w:val="009D02F2"/>
    <w:rsid w:val="009D08BC"/>
    <w:rsid w:val="009D2CE1"/>
    <w:rsid w:val="009D6EAC"/>
    <w:rsid w:val="009D7C80"/>
    <w:rsid w:val="009D7DC1"/>
    <w:rsid w:val="009E02B8"/>
    <w:rsid w:val="009E071A"/>
    <w:rsid w:val="009E079A"/>
    <w:rsid w:val="009E07B3"/>
    <w:rsid w:val="009E12EF"/>
    <w:rsid w:val="009E1548"/>
    <w:rsid w:val="009E261D"/>
    <w:rsid w:val="009E3538"/>
    <w:rsid w:val="009E4B0C"/>
    <w:rsid w:val="009E4DAB"/>
    <w:rsid w:val="009E55F9"/>
    <w:rsid w:val="009E5C5C"/>
    <w:rsid w:val="009E5F0E"/>
    <w:rsid w:val="009E7A1E"/>
    <w:rsid w:val="009E7E7A"/>
    <w:rsid w:val="009F1C8C"/>
    <w:rsid w:val="009F1FB0"/>
    <w:rsid w:val="009F2270"/>
    <w:rsid w:val="009F3B55"/>
    <w:rsid w:val="009F426B"/>
    <w:rsid w:val="009F4921"/>
    <w:rsid w:val="009F5BB7"/>
    <w:rsid w:val="009F6E25"/>
    <w:rsid w:val="009F75E4"/>
    <w:rsid w:val="009F75ED"/>
    <w:rsid w:val="009F7B9B"/>
    <w:rsid w:val="00A000C1"/>
    <w:rsid w:val="00A00B00"/>
    <w:rsid w:val="00A010ED"/>
    <w:rsid w:val="00A01894"/>
    <w:rsid w:val="00A03AD8"/>
    <w:rsid w:val="00A040AE"/>
    <w:rsid w:val="00A04E34"/>
    <w:rsid w:val="00A05961"/>
    <w:rsid w:val="00A0721D"/>
    <w:rsid w:val="00A07954"/>
    <w:rsid w:val="00A10929"/>
    <w:rsid w:val="00A12184"/>
    <w:rsid w:val="00A13624"/>
    <w:rsid w:val="00A14556"/>
    <w:rsid w:val="00A14B57"/>
    <w:rsid w:val="00A14ED8"/>
    <w:rsid w:val="00A152DA"/>
    <w:rsid w:val="00A167B8"/>
    <w:rsid w:val="00A177F8"/>
    <w:rsid w:val="00A2088F"/>
    <w:rsid w:val="00A21657"/>
    <w:rsid w:val="00A2195B"/>
    <w:rsid w:val="00A21B78"/>
    <w:rsid w:val="00A230BE"/>
    <w:rsid w:val="00A23EE4"/>
    <w:rsid w:val="00A24E2D"/>
    <w:rsid w:val="00A24FC2"/>
    <w:rsid w:val="00A26D38"/>
    <w:rsid w:val="00A27223"/>
    <w:rsid w:val="00A27567"/>
    <w:rsid w:val="00A304EC"/>
    <w:rsid w:val="00A31E1F"/>
    <w:rsid w:val="00A330E6"/>
    <w:rsid w:val="00A33B10"/>
    <w:rsid w:val="00A35B3C"/>
    <w:rsid w:val="00A37425"/>
    <w:rsid w:val="00A37684"/>
    <w:rsid w:val="00A37F88"/>
    <w:rsid w:val="00A42AE1"/>
    <w:rsid w:val="00A44084"/>
    <w:rsid w:val="00A4750B"/>
    <w:rsid w:val="00A475C8"/>
    <w:rsid w:val="00A47A19"/>
    <w:rsid w:val="00A502E1"/>
    <w:rsid w:val="00A51365"/>
    <w:rsid w:val="00A51949"/>
    <w:rsid w:val="00A524A9"/>
    <w:rsid w:val="00A5305D"/>
    <w:rsid w:val="00A53E07"/>
    <w:rsid w:val="00A54102"/>
    <w:rsid w:val="00A54EEF"/>
    <w:rsid w:val="00A563A2"/>
    <w:rsid w:val="00A575DF"/>
    <w:rsid w:val="00A6046E"/>
    <w:rsid w:val="00A628AE"/>
    <w:rsid w:val="00A64191"/>
    <w:rsid w:val="00A646C6"/>
    <w:rsid w:val="00A64B02"/>
    <w:rsid w:val="00A65679"/>
    <w:rsid w:val="00A65E94"/>
    <w:rsid w:val="00A666E5"/>
    <w:rsid w:val="00A67167"/>
    <w:rsid w:val="00A70EE7"/>
    <w:rsid w:val="00A71773"/>
    <w:rsid w:val="00A73EB3"/>
    <w:rsid w:val="00A741BE"/>
    <w:rsid w:val="00A7452C"/>
    <w:rsid w:val="00A7678B"/>
    <w:rsid w:val="00A810E8"/>
    <w:rsid w:val="00A826D5"/>
    <w:rsid w:val="00A82BBC"/>
    <w:rsid w:val="00A83FFD"/>
    <w:rsid w:val="00A843A8"/>
    <w:rsid w:val="00A84CBC"/>
    <w:rsid w:val="00A85C0F"/>
    <w:rsid w:val="00A8654C"/>
    <w:rsid w:val="00A86B58"/>
    <w:rsid w:val="00A90573"/>
    <w:rsid w:val="00A91487"/>
    <w:rsid w:val="00A92043"/>
    <w:rsid w:val="00A922E7"/>
    <w:rsid w:val="00A92F86"/>
    <w:rsid w:val="00A933C6"/>
    <w:rsid w:val="00A936EF"/>
    <w:rsid w:val="00A937DB"/>
    <w:rsid w:val="00A9476B"/>
    <w:rsid w:val="00A973D8"/>
    <w:rsid w:val="00AA0108"/>
    <w:rsid w:val="00AA26CC"/>
    <w:rsid w:val="00AA4B4A"/>
    <w:rsid w:val="00AA5E91"/>
    <w:rsid w:val="00AA736B"/>
    <w:rsid w:val="00AB02C3"/>
    <w:rsid w:val="00AB2E30"/>
    <w:rsid w:val="00AB31B5"/>
    <w:rsid w:val="00AB4C46"/>
    <w:rsid w:val="00AB4C8A"/>
    <w:rsid w:val="00AB6199"/>
    <w:rsid w:val="00AB7258"/>
    <w:rsid w:val="00AC0369"/>
    <w:rsid w:val="00AC08E4"/>
    <w:rsid w:val="00AC261C"/>
    <w:rsid w:val="00AC3B2E"/>
    <w:rsid w:val="00AC46FF"/>
    <w:rsid w:val="00AC53EE"/>
    <w:rsid w:val="00AC549E"/>
    <w:rsid w:val="00AD08E3"/>
    <w:rsid w:val="00AD10E6"/>
    <w:rsid w:val="00AD163D"/>
    <w:rsid w:val="00AD19BF"/>
    <w:rsid w:val="00AD314A"/>
    <w:rsid w:val="00AD5A1E"/>
    <w:rsid w:val="00AE0118"/>
    <w:rsid w:val="00AE251B"/>
    <w:rsid w:val="00AE2BE9"/>
    <w:rsid w:val="00AE2D95"/>
    <w:rsid w:val="00AE3A5D"/>
    <w:rsid w:val="00AE5A58"/>
    <w:rsid w:val="00AE5FE6"/>
    <w:rsid w:val="00AE6EC7"/>
    <w:rsid w:val="00AF186C"/>
    <w:rsid w:val="00AF25F5"/>
    <w:rsid w:val="00AF2A6B"/>
    <w:rsid w:val="00AF320E"/>
    <w:rsid w:val="00AF4A8B"/>
    <w:rsid w:val="00AF55A3"/>
    <w:rsid w:val="00AF5692"/>
    <w:rsid w:val="00AF72E7"/>
    <w:rsid w:val="00AF736F"/>
    <w:rsid w:val="00AF79DF"/>
    <w:rsid w:val="00B009A9"/>
    <w:rsid w:val="00B01256"/>
    <w:rsid w:val="00B01D02"/>
    <w:rsid w:val="00B03100"/>
    <w:rsid w:val="00B034C5"/>
    <w:rsid w:val="00B04EA2"/>
    <w:rsid w:val="00B07AA6"/>
    <w:rsid w:val="00B13D38"/>
    <w:rsid w:val="00B13F64"/>
    <w:rsid w:val="00B21EB6"/>
    <w:rsid w:val="00B23A19"/>
    <w:rsid w:val="00B2472D"/>
    <w:rsid w:val="00B24A83"/>
    <w:rsid w:val="00B24E7B"/>
    <w:rsid w:val="00B25F23"/>
    <w:rsid w:val="00B26D93"/>
    <w:rsid w:val="00B26E98"/>
    <w:rsid w:val="00B26E9C"/>
    <w:rsid w:val="00B26F06"/>
    <w:rsid w:val="00B2732E"/>
    <w:rsid w:val="00B27F11"/>
    <w:rsid w:val="00B30584"/>
    <w:rsid w:val="00B3134F"/>
    <w:rsid w:val="00B33970"/>
    <w:rsid w:val="00B346F5"/>
    <w:rsid w:val="00B34AAC"/>
    <w:rsid w:val="00B34D39"/>
    <w:rsid w:val="00B34EF0"/>
    <w:rsid w:val="00B351F0"/>
    <w:rsid w:val="00B36A63"/>
    <w:rsid w:val="00B37210"/>
    <w:rsid w:val="00B376D2"/>
    <w:rsid w:val="00B404F6"/>
    <w:rsid w:val="00B41555"/>
    <w:rsid w:val="00B42A7E"/>
    <w:rsid w:val="00B43305"/>
    <w:rsid w:val="00B4417A"/>
    <w:rsid w:val="00B44F46"/>
    <w:rsid w:val="00B44F6C"/>
    <w:rsid w:val="00B45C65"/>
    <w:rsid w:val="00B461F6"/>
    <w:rsid w:val="00B46FE9"/>
    <w:rsid w:val="00B470F5"/>
    <w:rsid w:val="00B51ABF"/>
    <w:rsid w:val="00B52D10"/>
    <w:rsid w:val="00B53796"/>
    <w:rsid w:val="00B548D6"/>
    <w:rsid w:val="00B55E6A"/>
    <w:rsid w:val="00B561ED"/>
    <w:rsid w:val="00B579DD"/>
    <w:rsid w:val="00B60969"/>
    <w:rsid w:val="00B6141D"/>
    <w:rsid w:val="00B61A23"/>
    <w:rsid w:val="00B62575"/>
    <w:rsid w:val="00B62576"/>
    <w:rsid w:val="00B638A4"/>
    <w:rsid w:val="00B66846"/>
    <w:rsid w:val="00B668A5"/>
    <w:rsid w:val="00B7198E"/>
    <w:rsid w:val="00B7252B"/>
    <w:rsid w:val="00B72796"/>
    <w:rsid w:val="00B7318D"/>
    <w:rsid w:val="00B73A7E"/>
    <w:rsid w:val="00B74F52"/>
    <w:rsid w:val="00B76462"/>
    <w:rsid w:val="00B7692A"/>
    <w:rsid w:val="00B769F2"/>
    <w:rsid w:val="00B779B4"/>
    <w:rsid w:val="00B77D6A"/>
    <w:rsid w:val="00B77EF7"/>
    <w:rsid w:val="00B81DAD"/>
    <w:rsid w:val="00B84F4E"/>
    <w:rsid w:val="00B859C8"/>
    <w:rsid w:val="00B86AB0"/>
    <w:rsid w:val="00B90028"/>
    <w:rsid w:val="00B906A3"/>
    <w:rsid w:val="00B9133D"/>
    <w:rsid w:val="00B9136F"/>
    <w:rsid w:val="00B93BD0"/>
    <w:rsid w:val="00B94138"/>
    <w:rsid w:val="00B9451E"/>
    <w:rsid w:val="00B94985"/>
    <w:rsid w:val="00B95B29"/>
    <w:rsid w:val="00B95C8B"/>
    <w:rsid w:val="00B95D89"/>
    <w:rsid w:val="00B960EA"/>
    <w:rsid w:val="00B967F0"/>
    <w:rsid w:val="00BA0138"/>
    <w:rsid w:val="00BA1DEE"/>
    <w:rsid w:val="00BA419F"/>
    <w:rsid w:val="00BA4F73"/>
    <w:rsid w:val="00BA69CB"/>
    <w:rsid w:val="00BA6FCE"/>
    <w:rsid w:val="00BB0C92"/>
    <w:rsid w:val="00BB1E58"/>
    <w:rsid w:val="00BB456F"/>
    <w:rsid w:val="00BB494B"/>
    <w:rsid w:val="00BB59BB"/>
    <w:rsid w:val="00BB7E97"/>
    <w:rsid w:val="00BC214C"/>
    <w:rsid w:val="00BC2581"/>
    <w:rsid w:val="00BC31C4"/>
    <w:rsid w:val="00BC37EC"/>
    <w:rsid w:val="00BC477D"/>
    <w:rsid w:val="00BC4CB4"/>
    <w:rsid w:val="00BC638F"/>
    <w:rsid w:val="00BC69F9"/>
    <w:rsid w:val="00BC7CB8"/>
    <w:rsid w:val="00BD01E2"/>
    <w:rsid w:val="00BD0628"/>
    <w:rsid w:val="00BD2817"/>
    <w:rsid w:val="00BD4271"/>
    <w:rsid w:val="00BD4588"/>
    <w:rsid w:val="00BD4B4C"/>
    <w:rsid w:val="00BE3231"/>
    <w:rsid w:val="00BE349E"/>
    <w:rsid w:val="00BE3C99"/>
    <w:rsid w:val="00BE6976"/>
    <w:rsid w:val="00BE6B6E"/>
    <w:rsid w:val="00BE78C0"/>
    <w:rsid w:val="00BF1262"/>
    <w:rsid w:val="00BF19B8"/>
    <w:rsid w:val="00BF2C2C"/>
    <w:rsid w:val="00BF2DD9"/>
    <w:rsid w:val="00BF378E"/>
    <w:rsid w:val="00BF3BAF"/>
    <w:rsid w:val="00BF43E8"/>
    <w:rsid w:val="00BF4CEB"/>
    <w:rsid w:val="00BF51BB"/>
    <w:rsid w:val="00BF5753"/>
    <w:rsid w:val="00BF5D70"/>
    <w:rsid w:val="00BF6005"/>
    <w:rsid w:val="00C00272"/>
    <w:rsid w:val="00C00B7A"/>
    <w:rsid w:val="00C03BCB"/>
    <w:rsid w:val="00C04097"/>
    <w:rsid w:val="00C04362"/>
    <w:rsid w:val="00C04465"/>
    <w:rsid w:val="00C046ED"/>
    <w:rsid w:val="00C04AAB"/>
    <w:rsid w:val="00C066BE"/>
    <w:rsid w:val="00C07C7C"/>
    <w:rsid w:val="00C10335"/>
    <w:rsid w:val="00C115FE"/>
    <w:rsid w:val="00C12A50"/>
    <w:rsid w:val="00C12C3F"/>
    <w:rsid w:val="00C12DAD"/>
    <w:rsid w:val="00C13227"/>
    <w:rsid w:val="00C14A3F"/>
    <w:rsid w:val="00C1570A"/>
    <w:rsid w:val="00C1597C"/>
    <w:rsid w:val="00C17526"/>
    <w:rsid w:val="00C17600"/>
    <w:rsid w:val="00C20358"/>
    <w:rsid w:val="00C20D24"/>
    <w:rsid w:val="00C220F9"/>
    <w:rsid w:val="00C22E73"/>
    <w:rsid w:val="00C239F2"/>
    <w:rsid w:val="00C24762"/>
    <w:rsid w:val="00C24BE1"/>
    <w:rsid w:val="00C24EF4"/>
    <w:rsid w:val="00C25C40"/>
    <w:rsid w:val="00C310D9"/>
    <w:rsid w:val="00C32986"/>
    <w:rsid w:val="00C33D59"/>
    <w:rsid w:val="00C344A3"/>
    <w:rsid w:val="00C34AAD"/>
    <w:rsid w:val="00C3657F"/>
    <w:rsid w:val="00C36FE2"/>
    <w:rsid w:val="00C37A7E"/>
    <w:rsid w:val="00C37EF8"/>
    <w:rsid w:val="00C412D6"/>
    <w:rsid w:val="00C41CCD"/>
    <w:rsid w:val="00C43589"/>
    <w:rsid w:val="00C4581A"/>
    <w:rsid w:val="00C46080"/>
    <w:rsid w:val="00C502C2"/>
    <w:rsid w:val="00C50B79"/>
    <w:rsid w:val="00C50E6D"/>
    <w:rsid w:val="00C51F15"/>
    <w:rsid w:val="00C5237A"/>
    <w:rsid w:val="00C52ADC"/>
    <w:rsid w:val="00C54A53"/>
    <w:rsid w:val="00C573C1"/>
    <w:rsid w:val="00C576AA"/>
    <w:rsid w:val="00C57A1F"/>
    <w:rsid w:val="00C57F8E"/>
    <w:rsid w:val="00C6120A"/>
    <w:rsid w:val="00C6199E"/>
    <w:rsid w:val="00C62360"/>
    <w:rsid w:val="00C6258A"/>
    <w:rsid w:val="00C62BA0"/>
    <w:rsid w:val="00C63176"/>
    <w:rsid w:val="00C641CC"/>
    <w:rsid w:val="00C64F0C"/>
    <w:rsid w:val="00C65492"/>
    <w:rsid w:val="00C660FE"/>
    <w:rsid w:val="00C6617F"/>
    <w:rsid w:val="00C6725E"/>
    <w:rsid w:val="00C706B6"/>
    <w:rsid w:val="00C70704"/>
    <w:rsid w:val="00C7126B"/>
    <w:rsid w:val="00C72201"/>
    <w:rsid w:val="00C729CE"/>
    <w:rsid w:val="00C7324E"/>
    <w:rsid w:val="00C744A4"/>
    <w:rsid w:val="00C74628"/>
    <w:rsid w:val="00C752C1"/>
    <w:rsid w:val="00C802C9"/>
    <w:rsid w:val="00C80CE1"/>
    <w:rsid w:val="00C81157"/>
    <w:rsid w:val="00C81768"/>
    <w:rsid w:val="00C85FB3"/>
    <w:rsid w:val="00C870C9"/>
    <w:rsid w:val="00C877F3"/>
    <w:rsid w:val="00C90D23"/>
    <w:rsid w:val="00C9242B"/>
    <w:rsid w:val="00C93646"/>
    <w:rsid w:val="00C9445E"/>
    <w:rsid w:val="00C95A70"/>
    <w:rsid w:val="00CA07B8"/>
    <w:rsid w:val="00CA1E7D"/>
    <w:rsid w:val="00CA2936"/>
    <w:rsid w:val="00CA3E2C"/>
    <w:rsid w:val="00CA43FF"/>
    <w:rsid w:val="00CA4F58"/>
    <w:rsid w:val="00CA7AE9"/>
    <w:rsid w:val="00CB2141"/>
    <w:rsid w:val="00CB3542"/>
    <w:rsid w:val="00CB3602"/>
    <w:rsid w:val="00CB39AD"/>
    <w:rsid w:val="00CB4F20"/>
    <w:rsid w:val="00CB5763"/>
    <w:rsid w:val="00CB5BCC"/>
    <w:rsid w:val="00CC2F19"/>
    <w:rsid w:val="00CC3F47"/>
    <w:rsid w:val="00CC4C55"/>
    <w:rsid w:val="00CC55F0"/>
    <w:rsid w:val="00CC5E59"/>
    <w:rsid w:val="00CC66EA"/>
    <w:rsid w:val="00CC6C49"/>
    <w:rsid w:val="00CD057F"/>
    <w:rsid w:val="00CD1987"/>
    <w:rsid w:val="00CD2DBB"/>
    <w:rsid w:val="00CD3DD9"/>
    <w:rsid w:val="00CD40E3"/>
    <w:rsid w:val="00CD4A82"/>
    <w:rsid w:val="00CD4F1C"/>
    <w:rsid w:val="00CD52AF"/>
    <w:rsid w:val="00CD5424"/>
    <w:rsid w:val="00CD5C25"/>
    <w:rsid w:val="00CD5F2E"/>
    <w:rsid w:val="00CD73A3"/>
    <w:rsid w:val="00CE352D"/>
    <w:rsid w:val="00CE3AEC"/>
    <w:rsid w:val="00CE3D5B"/>
    <w:rsid w:val="00CE41F3"/>
    <w:rsid w:val="00CE4DD2"/>
    <w:rsid w:val="00CE74A5"/>
    <w:rsid w:val="00CE7BE1"/>
    <w:rsid w:val="00CF098C"/>
    <w:rsid w:val="00CF10CA"/>
    <w:rsid w:val="00CF1699"/>
    <w:rsid w:val="00CF222A"/>
    <w:rsid w:val="00CF2319"/>
    <w:rsid w:val="00CF420A"/>
    <w:rsid w:val="00CF5211"/>
    <w:rsid w:val="00CF6854"/>
    <w:rsid w:val="00CF6C93"/>
    <w:rsid w:val="00D006FF"/>
    <w:rsid w:val="00D00E45"/>
    <w:rsid w:val="00D00FC5"/>
    <w:rsid w:val="00D036BB"/>
    <w:rsid w:val="00D037B8"/>
    <w:rsid w:val="00D03D47"/>
    <w:rsid w:val="00D03F18"/>
    <w:rsid w:val="00D04761"/>
    <w:rsid w:val="00D0498D"/>
    <w:rsid w:val="00D06028"/>
    <w:rsid w:val="00D07263"/>
    <w:rsid w:val="00D07B08"/>
    <w:rsid w:val="00D115A9"/>
    <w:rsid w:val="00D1300D"/>
    <w:rsid w:val="00D14479"/>
    <w:rsid w:val="00D1501D"/>
    <w:rsid w:val="00D160EB"/>
    <w:rsid w:val="00D17453"/>
    <w:rsid w:val="00D21593"/>
    <w:rsid w:val="00D218E7"/>
    <w:rsid w:val="00D247AE"/>
    <w:rsid w:val="00D24AAC"/>
    <w:rsid w:val="00D25067"/>
    <w:rsid w:val="00D25B75"/>
    <w:rsid w:val="00D25BEF"/>
    <w:rsid w:val="00D26032"/>
    <w:rsid w:val="00D265A6"/>
    <w:rsid w:val="00D277FD"/>
    <w:rsid w:val="00D306FB"/>
    <w:rsid w:val="00D30E50"/>
    <w:rsid w:val="00D31FD6"/>
    <w:rsid w:val="00D32A99"/>
    <w:rsid w:val="00D33FDE"/>
    <w:rsid w:val="00D34549"/>
    <w:rsid w:val="00D35271"/>
    <w:rsid w:val="00D404D1"/>
    <w:rsid w:val="00D42ED9"/>
    <w:rsid w:val="00D42FA1"/>
    <w:rsid w:val="00D4473D"/>
    <w:rsid w:val="00D45611"/>
    <w:rsid w:val="00D46241"/>
    <w:rsid w:val="00D477F1"/>
    <w:rsid w:val="00D47E95"/>
    <w:rsid w:val="00D5064D"/>
    <w:rsid w:val="00D5356F"/>
    <w:rsid w:val="00D537CF"/>
    <w:rsid w:val="00D5434B"/>
    <w:rsid w:val="00D5474B"/>
    <w:rsid w:val="00D554AD"/>
    <w:rsid w:val="00D55D57"/>
    <w:rsid w:val="00D5675D"/>
    <w:rsid w:val="00D5683E"/>
    <w:rsid w:val="00D56F64"/>
    <w:rsid w:val="00D577EE"/>
    <w:rsid w:val="00D60719"/>
    <w:rsid w:val="00D60AF4"/>
    <w:rsid w:val="00D6254B"/>
    <w:rsid w:val="00D6260E"/>
    <w:rsid w:val="00D63367"/>
    <w:rsid w:val="00D63ABD"/>
    <w:rsid w:val="00D63DA6"/>
    <w:rsid w:val="00D644BC"/>
    <w:rsid w:val="00D65A2F"/>
    <w:rsid w:val="00D67D2C"/>
    <w:rsid w:val="00D70489"/>
    <w:rsid w:val="00D70B7F"/>
    <w:rsid w:val="00D73EBB"/>
    <w:rsid w:val="00D74447"/>
    <w:rsid w:val="00D74CFE"/>
    <w:rsid w:val="00D776F1"/>
    <w:rsid w:val="00D77D98"/>
    <w:rsid w:val="00D80FF5"/>
    <w:rsid w:val="00D81153"/>
    <w:rsid w:val="00D83C86"/>
    <w:rsid w:val="00D84C39"/>
    <w:rsid w:val="00D85239"/>
    <w:rsid w:val="00D86450"/>
    <w:rsid w:val="00D868FA"/>
    <w:rsid w:val="00D87139"/>
    <w:rsid w:val="00D87303"/>
    <w:rsid w:val="00D902C3"/>
    <w:rsid w:val="00D903BA"/>
    <w:rsid w:val="00D91581"/>
    <w:rsid w:val="00D91A44"/>
    <w:rsid w:val="00D91E0E"/>
    <w:rsid w:val="00D92A62"/>
    <w:rsid w:val="00D945ED"/>
    <w:rsid w:val="00D94610"/>
    <w:rsid w:val="00D94A3C"/>
    <w:rsid w:val="00D9536C"/>
    <w:rsid w:val="00D96472"/>
    <w:rsid w:val="00D97793"/>
    <w:rsid w:val="00D97E6E"/>
    <w:rsid w:val="00DA3163"/>
    <w:rsid w:val="00DA3E89"/>
    <w:rsid w:val="00DA4336"/>
    <w:rsid w:val="00DA4607"/>
    <w:rsid w:val="00DA493C"/>
    <w:rsid w:val="00DA4F5C"/>
    <w:rsid w:val="00DA6F93"/>
    <w:rsid w:val="00DA79BA"/>
    <w:rsid w:val="00DB10AB"/>
    <w:rsid w:val="00DB2428"/>
    <w:rsid w:val="00DB28ED"/>
    <w:rsid w:val="00DB3512"/>
    <w:rsid w:val="00DB36DE"/>
    <w:rsid w:val="00DB3925"/>
    <w:rsid w:val="00DB3AE2"/>
    <w:rsid w:val="00DB3DFB"/>
    <w:rsid w:val="00DB5876"/>
    <w:rsid w:val="00DB67E4"/>
    <w:rsid w:val="00DB6FDD"/>
    <w:rsid w:val="00DB7E1A"/>
    <w:rsid w:val="00DC06C1"/>
    <w:rsid w:val="00DC19CB"/>
    <w:rsid w:val="00DC1C9B"/>
    <w:rsid w:val="00DC23BB"/>
    <w:rsid w:val="00DC2847"/>
    <w:rsid w:val="00DC4635"/>
    <w:rsid w:val="00DC537C"/>
    <w:rsid w:val="00DC5937"/>
    <w:rsid w:val="00DD046E"/>
    <w:rsid w:val="00DD11CD"/>
    <w:rsid w:val="00DD1ABC"/>
    <w:rsid w:val="00DD1E22"/>
    <w:rsid w:val="00DD248F"/>
    <w:rsid w:val="00DD3B0C"/>
    <w:rsid w:val="00DD4BD2"/>
    <w:rsid w:val="00DD51E9"/>
    <w:rsid w:val="00DD6B34"/>
    <w:rsid w:val="00DD6ED0"/>
    <w:rsid w:val="00DD717D"/>
    <w:rsid w:val="00DD7372"/>
    <w:rsid w:val="00DE0D2D"/>
    <w:rsid w:val="00DE1400"/>
    <w:rsid w:val="00DE1D08"/>
    <w:rsid w:val="00DE3923"/>
    <w:rsid w:val="00DE4003"/>
    <w:rsid w:val="00DE4533"/>
    <w:rsid w:val="00DE51A6"/>
    <w:rsid w:val="00DE5450"/>
    <w:rsid w:val="00DE6A6C"/>
    <w:rsid w:val="00DE78EE"/>
    <w:rsid w:val="00DE7E48"/>
    <w:rsid w:val="00DE7EA9"/>
    <w:rsid w:val="00DF2000"/>
    <w:rsid w:val="00DF22C7"/>
    <w:rsid w:val="00DF300E"/>
    <w:rsid w:val="00DF3C16"/>
    <w:rsid w:val="00DF4824"/>
    <w:rsid w:val="00DF5113"/>
    <w:rsid w:val="00DF684E"/>
    <w:rsid w:val="00DF7331"/>
    <w:rsid w:val="00E0108C"/>
    <w:rsid w:val="00E01CB5"/>
    <w:rsid w:val="00E020EC"/>
    <w:rsid w:val="00E04080"/>
    <w:rsid w:val="00E047FE"/>
    <w:rsid w:val="00E05A99"/>
    <w:rsid w:val="00E069A9"/>
    <w:rsid w:val="00E07151"/>
    <w:rsid w:val="00E07790"/>
    <w:rsid w:val="00E07C72"/>
    <w:rsid w:val="00E103DF"/>
    <w:rsid w:val="00E1146B"/>
    <w:rsid w:val="00E11843"/>
    <w:rsid w:val="00E1287D"/>
    <w:rsid w:val="00E13455"/>
    <w:rsid w:val="00E1533C"/>
    <w:rsid w:val="00E156AA"/>
    <w:rsid w:val="00E20E92"/>
    <w:rsid w:val="00E21E50"/>
    <w:rsid w:val="00E226CE"/>
    <w:rsid w:val="00E22929"/>
    <w:rsid w:val="00E248F5"/>
    <w:rsid w:val="00E266FE"/>
    <w:rsid w:val="00E279C6"/>
    <w:rsid w:val="00E303BD"/>
    <w:rsid w:val="00E32756"/>
    <w:rsid w:val="00E32DC2"/>
    <w:rsid w:val="00E33253"/>
    <w:rsid w:val="00E34860"/>
    <w:rsid w:val="00E354EC"/>
    <w:rsid w:val="00E36330"/>
    <w:rsid w:val="00E36679"/>
    <w:rsid w:val="00E3689E"/>
    <w:rsid w:val="00E373D4"/>
    <w:rsid w:val="00E37D11"/>
    <w:rsid w:val="00E42A6B"/>
    <w:rsid w:val="00E43040"/>
    <w:rsid w:val="00E4307A"/>
    <w:rsid w:val="00E440AC"/>
    <w:rsid w:val="00E442DE"/>
    <w:rsid w:val="00E44E5E"/>
    <w:rsid w:val="00E451E9"/>
    <w:rsid w:val="00E45B92"/>
    <w:rsid w:val="00E466C5"/>
    <w:rsid w:val="00E47530"/>
    <w:rsid w:val="00E50861"/>
    <w:rsid w:val="00E50C10"/>
    <w:rsid w:val="00E50E52"/>
    <w:rsid w:val="00E52B59"/>
    <w:rsid w:val="00E53730"/>
    <w:rsid w:val="00E547BC"/>
    <w:rsid w:val="00E547BD"/>
    <w:rsid w:val="00E56A8A"/>
    <w:rsid w:val="00E56E34"/>
    <w:rsid w:val="00E57473"/>
    <w:rsid w:val="00E57D2E"/>
    <w:rsid w:val="00E608F1"/>
    <w:rsid w:val="00E615A0"/>
    <w:rsid w:val="00E62A2A"/>
    <w:rsid w:val="00E64595"/>
    <w:rsid w:val="00E6481B"/>
    <w:rsid w:val="00E64DBB"/>
    <w:rsid w:val="00E704A5"/>
    <w:rsid w:val="00E7079C"/>
    <w:rsid w:val="00E70CFD"/>
    <w:rsid w:val="00E71085"/>
    <w:rsid w:val="00E714CA"/>
    <w:rsid w:val="00E72999"/>
    <w:rsid w:val="00E72F4C"/>
    <w:rsid w:val="00E737F0"/>
    <w:rsid w:val="00E73A27"/>
    <w:rsid w:val="00E7432B"/>
    <w:rsid w:val="00E74AB5"/>
    <w:rsid w:val="00E75112"/>
    <w:rsid w:val="00E76FCD"/>
    <w:rsid w:val="00E771B1"/>
    <w:rsid w:val="00E77938"/>
    <w:rsid w:val="00E80E3A"/>
    <w:rsid w:val="00E815BE"/>
    <w:rsid w:val="00E81D1D"/>
    <w:rsid w:val="00E85AD6"/>
    <w:rsid w:val="00E85C8C"/>
    <w:rsid w:val="00E86D1F"/>
    <w:rsid w:val="00E87E64"/>
    <w:rsid w:val="00E900EA"/>
    <w:rsid w:val="00E902EF"/>
    <w:rsid w:val="00E904AB"/>
    <w:rsid w:val="00E908B0"/>
    <w:rsid w:val="00E93108"/>
    <w:rsid w:val="00E93D80"/>
    <w:rsid w:val="00E95C71"/>
    <w:rsid w:val="00E9742A"/>
    <w:rsid w:val="00EA1164"/>
    <w:rsid w:val="00EA1608"/>
    <w:rsid w:val="00EA1638"/>
    <w:rsid w:val="00EA2531"/>
    <w:rsid w:val="00EA2BB8"/>
    <w:rsid w:val="00EA3847"/>
    <w:rsid w:val="00EA3C15"/>
    <w:rsid w:val="00EA3D93"/>
    <w:rsid w:val="00EA493E"/>
    <w:rsid w:val="00EA5845"/>
    <w:rsid w:val="00EA75B8"/>
    <w:rsid w:val="00EB2489"/>
    <w:rsid w:val="00EB4175"/>
    <w:rsid w:val="00EB6151"/>
    <w:rsid w:val="00EB780C"/>
    <w:rsid w:val="00EC09F2"/>
    <w:rsid w:val="00EC2C4D"/>
    <w:rsid w:val="00EC2E63"/>
    <w:rsid w:val="00EC5123"/>
    <w:rsid w:val="00EC548E"/>
    <w:rsid w:val="00EC61DF"/>
    <w:rsid w:val="00EC6B6A"/>
    <w:rsid w:val="00ED04E4"/>
    <w:rsid w:val="00ED362B"/>
    <w:rsid w:val="00ED3CB6"/>
    <w:rsid w:val="00ED467D"/>
    <w:rsid w:val="00ED4C2B"/>
    <w:rsid w:val="00ED5476"/>
    <w:rsid w:val="00ED5D75"/>
    <w:rsid w:val="00ED5E4E"/>
    <w:rsid w:val="00ED76B6"/>
    <w:rsid w:val="00EE0397"/>
    <w:rsid w:val="00EE2351"/>
    <w:rsid w:val="00EE2FAD"/>
    <w:rsid w:val="00EE3489"/>
    <w:rsid w:val="00EE4CFA"/>
    <w:rsid w:val="00EE5B53"/>
    <w:rsid w:val="00EE691B"/>
    <w:rsid w:val="00EE6B7C"/>
    <w:rsid w:val="00EE6B84"/>
    <w:rsid w:val="00EE6C0B"/>
    <w:rsid w:val="00EE7249"/>
    <w:rsid w:val="00EF0106"/>
    <w:rsid w:val="00EF0F4B"/>
    <w:rsid w:val="00EF1912"/>
    <w:rsid w:val="00EF19AB"/>
    <w:rsid w:val="00EF1A10"/>
    <w:rsid w:val="00EF26B8"/>
    <w:rsid w:val="00EF2FD2"/>
    <w:rsid w:val="00EF340D"/>
    <w:rsid w:val="00EF47DF"/>
    <w:rsid w:val="00EF4873"/>
    <w:rsid w:val="00EF59BA"/>
    <w:rsid w:val="00EF6383"/>
    <w:rsid w:val="00EF688C"/>
    <w:rsid w:val="00EF6BDA"/>
    <w:rsid w:val="00EF7B77"/>
    <w:rsid w:val="00F0006C"/>
    <w:rsid w:val="00F00D05"/>
    <w:rsid w:val="00F00E6F"/>
    <w:rsid w:val="00F04466"/>
    <w:rsid w:val="00F04A84"/>
    <w:rsid w:val="00F05441"/>
    <w:rsid w:val="00F05D4B"/>
    <w:rsid w:val="00F07375"/>
    <w:rsid w:val="00F07D95"/>
    <w:rsid w:val="00F10756"/>
    <w:rsid w:val="00F112B4"/>
    <w:rsid w:val="00F11547"/>
    <w:rsid w:val="00F12160"/>
    <w:rsid w:val="00F12719"/>
    <w:rsid w:val="00F12B72"/>
    <w:rsid w:val="00F1396B"/>
    <w:rsid w:val="00F13D7D"/>
    <w:rsid w:val="00F14236"/>
    <w:rsid w:val="00F14DB4"/>
    <w:rsid w:val="00F15207"/>
    <w:rsid w:val="00F15259"/>
    <w:rsid w:val="00F1680A"/>
    <w:rsid w:val="00F206B7"/>
    <w:rsid w:val="00F210B6"/>
    <w:rsid w:val="00F211EF"/>
    <w:rsid w:val="00F21D53"/>
    <w:rsid w:val="00F25F3F"/>
    <w:rsid w:val="00F265FC"/>
    <w:rsid w:val="00F27856"/>
    <w:rsid w:val="00F31524"/>
    <w:rsid w:val="00F319BE"/>
    <w:rsid w:val="00F322CA"/>
    <w:rsid w:val="00F33C04"/>
    <w:rsid w:val="00F34781"/>
    <w:rsid w:val="00F34C23"/>
    <w:rsid w:val="00F36DEA"/>
    <w:rsid w:val="00F41BCE"/>
    <w:rsid w:val="00F42488"/>
    <w:rsid w:val="00F42B20"/>
    <w:rsid w:val="00F42CC6"/>
    <w:rsid w:val="00F4355A"/>
    <w:rsid w:val="00F44B50"/>
    <w:rsid w:val="00F4512D"/>
    <w:rsid w:val="00F45B10"/>
    <w:rsid w:val="00F4643A"/>
    <w:rsid w:val="00F464ED"/>
    <w:rsid w:val="00F474CB"/>
    <w:rsid w:val="00F50403"/>
    <w:rsid w:val="00F51752"/>
    <w:rsid w:val="00F51B8D"/>
    <w:rsid w:val="00F539AF"/>
    <w:rsid w:val="00F54794"/>
    <w:rsid w:val="00F556F3"/>
    <w:rsid w:val="00F567E1"/>
    <w:rsid w:val="00F574B5"/>
    <w:rsid w:val="00F57699"/>
    <w:rsid w:val="00F57F05"/>
    <w:rsid w:val="00F61103"/>
    <w:rsid w:val="00F644DD"/>
    <w:rsid w:val="00F64776"/>
    <w:rsid w:val="00F664FA"/>
    <w:rsid w:val="00F6766A"/>
    <w:rsid w:val="00F67B6B"/>
    <w:rsid w:val="00F67B8E"/>
    <w:rsid w:val="00F714C2"/>
    <w:rsid w:val="00F72324"/>
    <w:rsid w:val="00F72334"/>
    <w:rsid w:val="00F72D1C"/>
    <w:rsid w:val="00F7309A"/>
    <w:rsid w:val="00F733BC"/>
    <w:rsid w:val="00F769C3"/>
    <w:rsid w:val="00F77417"/>
    <w:rsid w:val="00F806D3"/>
    <w:rsid w:val="00F86B5C"/>
    <w:rsid w:val="00F86D5A"/>
    <w:rsid w:val="00F87783"/>
    <w:rsid w:val="00F87ABE"/>
    <w:rsid w:val="00F900C5"/>
    <w:rsid w:val="00F90B97"/>
    <w:rsid w:val="00F919EC"/>
    <w:rsid w:val="00F928C5"/>
    <w:rsid w:val="00F93419"/>
    <w:rsid w:val="00F93680"/>
    <w:rsid w:val="00F949DF"/>
    <w:rsid w:val="00F94FBF"/>
    <w:rsid w:val="00F967BA"/>
    <w:rsid w:val="00F97137"/>
    <w:rsid w:val="00FA0B22"/>
    <w:rsid w:val="00FA0B94"/>
    <w:rsid w:val="00FA1210"/>
    <w:rsid w:val="00FA146B"/>
    <w:rsid w:val="00FA2774"/>
    <w:rsid w:val="00FA3ABF"/>
    <w:rsid w:val="00FA446F"/>
    <w:rsid w:val="00FA4704"/>
    <w:rsid w:val="00FA4C95"/>
    <w:rsid w:val="00FA58FE"/>
    <w:rsid w:val="00FA60C8"/>
    <w:rsid w:val="00FA6AA1"/>
    <w:rsid w:val="00FA75EA"/>
    <w:rsid w:val="00FA7DDE"/>
    <w:rsid w:val="00FB010B"/>
    <w:rsid w:val="00FB0593"/>
    <w:rsid w:val="00FB07A0"/>
    <w:rsid w:val="00FB1262"/>
    <w:rsid w:val="00FB12F9"/>
    <w:rsid w:val="00FB2C36"/>
    <w:rsid w:val="00FB30AF"/>
    <w:rsid w:val="00FB3C1C"/>
    <w:rsid w:val="00FB4035"/>
    <w:rsid w:val="00FB469D"/>
    <w:rsid w:val="00FB46EE"/>
    <w:rsid w:val="00FB5A59"/>
    <w:rsid w:val="00FC062D"/>
    <w:rsid w:val="00FC06F6"/>
    <w:rsid w:val="00FC0F9A"/>
    <w:rsid w:val="00FC1075"/>
    <w:rsid w:val="00FC1E2D"/>
    <w:rsid w:val="00FC31EA"/>
    <w:rsid w:val="00FC32B8"/>
    <w:rsid w:val="00FC5133"/>
    <w:rsid w:val="00FC535D"/>
    <w:rsid w:val="00FC6DE9"/>
    <w:rsid w:val="00FD21BB"/>
    <w:rsid w:val="00FD3238"/>
    <w:rsid w:val="00FD443E"/>
    <w:rsid w:val="00FD4533"/>
    <w:rsid w:val="00FD4DD5"/>
    <w:rsid w:val="00FE2B2B"/>
    <w:rsid w:val="00FE3451"/>
    <w:rsid w:val="00FE46DB"/>
    <w:rsid w:val="00FE4C3F"/>
    <w:rsid w:val="00FE7EB1"/>
    <w:rsid w:val="00FF056B"/>
    <w:rsid w:val="00FF07F9"/>
    <w:rsid w:val="00FF0A17"/>
    <w:rsid w:val="00FF18A7"/>
    <w:rsid w:val="00FF1A3C"/>
    <w:rsid w:val="00FF5630"/>
    <w:rsid w:val="00FF574B"/>
    <w:rsid w:val="00FF6E27"/>
    <w:rsid w:val="00FF6FB0"/>
    <w:rsid w:val="011A24F4"/>
    <w:rsid w:val="0123584C"/>
    <w:rsid w:val="01260E98"/>
    <w:rsid w:val="013008AD"/>
    <w:rsid w:val="014D4677"/>
    <w:rsid w:val="01787946"/>
    <w:rsid w:val="01913FB9"/>
    <w:rsid w:val="01EC3E90"/>
    <w:rsid w:val="01F01BD2"/>
    <w:rsid w:val="0204567E"/>
    <w:rsid w:val="02117D9A"/>
    <w:rsid w:val="021D673F"/>
    <w:rsid w:val="02421D02"/>
    <w:rsid w:val="02423C4A"/>
    <w:rsid w:val="02441F1E"/>
    <w:rsid w:val="02823316"/>
    <w:rsid w:val="02A1111E"/>
    <w:rsid w:val="02BD75DA"/>
    <w:rsid w:val="02CD5A6F"/>
    <w:rsid w:val="02DA200C"/>
    <w:rsid w:val="02E42701"/>
    <w:rsid w:val="02E5725D"/>
    <w:rsid w:val="02F3376D"/>
    <w:rsid w:val="030F0BB0"/>
    <w:rsid w:val="0362540B"/>
    <w:rsid w:val="037E411F"/>
    <w:rsid w:val="038D4985"/>
    <w:rsid w:val="039B5B6E"/>
    <w:rsid w:val="039F2472"/>
    <w:rsid w:val="03DA48E8"/>
    <w:rsid w:val="03EB2D67"/>
    <w:rsid w:val="03EF5EB9"/>
    <w:rsid w:val="03F31506"/>
    <w:rsid w:val="041208A9"/>
    <w:rsid w:val="04137DFA"/>
    <w:rsid w:val="041B1F5A"/>
    <w:rsid w:val="041D2A27"/>
    <w:rsid w:val="04247911"/>
    <w:rsid w:val="04275653"/>
    <w:rsid w:val="043D4E77"/>
    <w:rsid w:val="0449381C"/>
    <w:rsid w:val="044C50BA"/>
    <w:rsid w:val="044C6E68"/>
    <w:rsid w:val="04754611"/>
    <w:rsid w:val="04820ADC"/>
    <w:rsid w:val="04826D2E"/>
    <w:rsid w:val="04B36EE7"/>
    <w:rsid w:val="04B907F2"/>
    <w:rsid w:val="04BC02DB"/>
    <w:rsid w:val="04E86B91"/>
    <w:rsid w:val="04EB741F"/>
    <w:rsid w:val="04FC263C"/>
    <w:rsid w:val="05041A5C"/>
    <w:rsid w:val="05080FE1"/>
    <w:rsid w:val="051F457C"/>
    <w:rsid w:val="05320689"/>
    <w:rsid w:val="053504A1"/>
    <w:rsid w:val="05483AD3"/>
    <w:rsid w:val="055E32F7"/>
    <w:rsid w:val="05687F3F"/>
    <w:rsid w:val="057378BD"/>
    <w:rsid w:val="05A61144"/>
    <w:rsid w:val="05C018BB"/>
    <w:rsid w:val="05CE7E5C"/>
    <w:rsid w:val="05DD246D"/>
    <w:rsid w:val="05EA798A"/>
    <w:rsid w:val="05EB7DE7"/>
    <w:rsid w:val="060C4B01"/>
    <w:rsid w:val="06A411DD"/>
    <w:rsid w:val="06C86EDF"/>
    <w:rsid w:val="06E4782C"/>
    <w:rsid w:val="06FE7F2C"/>
    <w:rsid w:val="06FF2B3A"/>
    <w:rsid w:val="07034156"/>
    <w:rsid w:val="07083D36"/>
    <w:rsid w:val="07300E40"/>
    <w:rsid w:val="07305B23"/>
    <w:rsid w:val="073A744C"/>
    <w:rsid w:val="073A789A"/>
    <w:rsid w:val="074B78AB"/>
    <w:rsid w:val="07567C09"/>
    <w:rsid w:val="076A2268"/>
    <w:rsid w:val="07936099"/>
    <w:rsid w:val="07997F98"/>
    <w:rsid w:val="07A30BCB"/>
    <w:rsid w:val="07B96946"/>
    <w:rsid w:val="07BA233A"/>
    <w:rsid w:val="07C136C9"/>
    <w:rsid w:val="07DF0E0C"/>
    <w:rsid w:val="07E72223"/>
    <w:rsid w:val="07FF7B2E"/>
    <w:rsid w:val="081E40F5"/>
    <w:rsid w:val="082868E6"/>
    <w:rsid w:val="082D6FB0"/>
    <w:rsid w:val="08590179"/>
    <w:rsid w:val="08674A42"/>
    <w:rsid w:val="0869623A"/>
    <w:rsid w:val="088077EC"/>
    <w:rsid w:val="088F5575"/>
    <w:rsid w:val="08CE0793"/>
    <w:rsid w:val="0916623A"/>
    <w:rsid w:val="091B22FA"/>
    <w:rsid w:val="091C3ABB"/>
    <w:rsid w:val="091F2D9D"/>
    <w:rsid w:val="09336352"/>
    <w:rsid w:val="09521C9C"/>
    <w:rsid w:val="09646A02"/>
    <w:rsid w:val="09A775EB"/>
    <w:rsid w:val="09B463DB"/>
    <w:rsid w:val="09BB0D18"/>
    <w:rsid w:val="09EB429C"/>
    <w:rsid w:val="09F064E7"/>
    <w:rsid w:val="09FC2093"/>
    <w:rsid w:val="0A0B0146"/>
    <w:rsid w:val="0A16323D"/>
    <w:rsid w:val="0A2E194F"/>
    <w:rsid w:val="0A36214C"/>
    <w:rsid w:val="0A4E393A"/>
    <w:rsid w:val="0A5A1B8E"/>
    <w:rsid w:val="0A5F1495"/>
    <w:rsid w:val="0A650045"/>
    <w:rsid w:val="0A6D2B20"/>
    <w:rsid w:val="0A93759F"/>
    <w:rsid w:val="0ADF6441"/>
    <w:rsid w:val="0AEA1189"/>
    <w:rsid w:val="0AF618DB"/>
    <w:rsid w:val="0AFA13CC"/>
    <w:rsid w:val="0AFD0EBC"/>
    <w:rsid w:val="0B183F48"/>
    <w:rsid w:val="0B224F2A"/>
    <w:rsid w:val="0B246449"/>
    <w:rsid w:val="0B26329F"/>
    <w:rsid w:val="0B2A2236"/>
    <w:rsid w:val="0B2D79F3"/>
    <w:rsid w:val="0B4E1717"/>
    <w:rsid w:val="0B4F6D29"/>
    <w:rsid w:val="0B6D0D6B"/>
    <w:rsid w:val="0B6F7F49"/>
    <w:rsid w:val="0B8D66E4"/>
    <w:rsid w:val="0B940B87"/>
    <w:rsid w:val="0B94162F"/>
    <w:rsid w:val="0BAC2EBC"/>
    <w:rsid w:val="0BCB0B91"/>
    <w:rsid w:val="0C3D48DB"/>
    <w:rsid w:val="0C3F3664"/>
    <w:rsid w:val="0C443DDF"/>
    <w:rsid w:val="0C7254CA"/>
    <w:rsid w:val="0C856A7E"/>
    <w:rsid w:val="0C8801E5"/>
    <w:rsid w:val="0C937D2A"/>
    <w:rsid w:val="0C943AA2"/>
    <w:rsid w:val="0CB3217A"/>
    <w:rsid w:val="0CF93F30"/>
    <w:rsid w:val="0D0419FD"/>
    <w:rsid w:val="0D302230"/>
    <w:rsid w:val="0D330BC5"/>
    <w:rsid w:val="0D417635"/>
    <w:rsid w:val="0D464D9C"/>
    <w:rsid w:val="0D7F02AE"/>
    <w:rsid w:val="0D845DE4"/>
    <w:rsid w:val="0D892EDB"/>
    <w:rsid w:val="0D8E229F"/>
    <w:rsid w:val="0DB80EE9"/>
    <w:rsid w:val="0DC857B1"/>
    <w:rsid w:val="0DD51C7C"/>
    <w:rsid w:val="0DF93BBD"/>
    <w:rsid w:val="0DFD7024"/>
    <w:rsid w:val="0E0A1F43"/>
    <w:rsid w:val="0E5A03D3"/>
    <w:rsid w:val="0E620D02"/>
    <w:rsid w:val="0E647C30"/>
    <w:rsid w:val="0E6A6868"/>
    <w:rsid w:val="0E6F71A6"/>
    <w:rsid w:val="0E7C59F6"/>
    <w:rsid w:val="0E7F0FD9"/>
    <w:rsid w:val="0E8E2C22"/>
    <w:rsid w:val="0ECA4A06"/>
    <w:rsid w:val="0EEE3923"/>
    <w:rsid w:val="0EEF5F64"/>
    <w:rsid w:val="0EFC475C"/>
    <w:rsid w:val="0F0F5EDD"/>
    <w:rsid w:val="0F12144F"/>
    <w:rsid w:val="0F274759"/>
    <w:rsid w:val="0F2A1DB8"/>
    <w:rsid w:val="0F421593"/>
    <w:rsid w:val="0F4B48EC"/>
    <w:rsid w:val="0F4D75A3"/>
    <w:rsid w:val="0F610C24"/>
    <w:rsid w:val="0F7D25CB"/>
    <w:rsid w:val="0F825E34"/>
    <w:rsid w:val="0F976926"/>
    <w:rsid w:val="0F9E52D1"/>
    <w:rsid w:val="0FB26719"/>
    <w:rsid w:val="0FC41FA8"/>
    <w:rsid w:val="0FDB03E2"/>
    <w:rsid w:val="101F6412"/>
    <w:rsid w:val="10374E70"/>
    <w:rsid w:val="103C7F07"/>
    <w:rsid w:val="106B4A6F"/>
    <w:rsid w:val="106E1C0C"/>
    <w:rsid w:val="106F0166"/>
    <w:rsid w:val="10771710"/>
    <w:rsid w:val="108C1B65"/>
    <w:rsid w:val="10A46ADD"/>
    <w:rsid w:val="10C67501"/>
    <w:rsid w:val="10F7066A"/>
    <w:rsid w:val="112E6273"/>
    <w:rsid w:val="11496C09"/>
    <w:rsid w:val="114F61E9"/>
    <w:rsid w:val="115A6FD6"/>
    <w:rsid w:val="115F467E"/>
    <w:rsid w:val="118222EB"/>
    <w:rsid w:val="11AE2698"/>
    <w:rsid w:val="11BA3E16"/>
    <w:rsid w:val="11D87F8D"/>
    <w:rsid w:val="11DB182B"/>
    <w:rsid w:val="11E057D0"/>
    <w:rsid w:val="11F13AA0"/>
    <w:rsid w:val="12247B6B"/>
    <w:rsid w:val="12280F14"/>
    <w:rsid w:val="129200A1"/>
    <w:rsid w:val="12A761E8"/>
    <w:rsid w:val="12BA2945"/>
    <w:rsid w:val="12DE0B41"/>
    <w:rsid w:val="12E2394F"/>
    <w:rsid w:val="12E56E05"/>
    <w:rsid w:val="132A027E"/>
    <w:rsid w:val="13426006"/>
    <w:rsid w:val="13615886"/>
    <w:rsid w:val="137668AA"/>
    <w:rsid w:val="138C5C48"/>
    <w:rsid w:val="13936861"/>
    <w:rsid w:val="13BB1914"/>
    <w:rsid w:val="13CD7D80"/>
    <w:rsid w:val="13EE1CEA"/>
    <w:rsid w:val="14164D9C"/>
    <w:rsid w:val="141A7A78"/>
    <w:rsid w:val="141B19EC"/>
    <w:rsid w:val="14214049"/>
    <w:rsid w:val="142B66F1"/>
    <w:rsid w:val="14313376"/>
    <w:rsid w:val="1437543F"/>
    <w:rsid w:val="1457788F"/>
    <w:rsid w:val="146B3AA5"/>
    <w:rsid w:val="14777F31"/>
    <w:rsid w:val="148D1503"/>
    <w:rsid w:val="14980C4A"/>
    <w:rsid w:val="14AA3E63"/>
    <w:rsid w:val="14AF514A"/>
    <w:rsid w:val="14B96FF1"/>
    <w:rsid w:val="14CC380F"/>
    <w:rsid w:val="1504671C"/>
    <w:rsid w:val="153656F6"/>
    <w:rsid w:val="153674A4"/>
    <w:rsid w:val="154418EA"/>
    <w:rsid w:val="154D0C92"/>
    <w:rsid w:val="155142DE"/>
    <w:rsid w:val="157955E3"/>
    <w:rsid w:val="158E72E0"/>
    <w:rsid w:val="158F137B"/>
    <w:rsid w:val="159B19FD"/>
    <w:rsid w:val="15A72150"/>
    <w:rsid w:val="15C545A9"/>
    <w:rsid w:val="15C745A0"/>
    <w:rsid w:val="15EE7EEE"/>
    <w:rsid w:val="161F618A"/>
    <w:rsid w:val="162F6922"/>
    <w:rsid w:val="16314110"/>
    <w:rsid w:val="16331C36"/>
    <w:rsid w:val="16381150"/>
    <w:rsid w:val="165027E8"/>
    <w:rsid w:val="165B2F3A"/>
    <w:rsid w:val="166015B3"/>
    <w:rsid w:val="167401D6"/>
    <w:rsid w:val="169A3A63"/>
    <w:rsid w:val="16B34073"/>
    <w:rsid w:val="16B8213B"/>
    <w:rsid w:val="16D231FD"/>
    <w:rsid w:val="16DE1BA1"/>
    <w:rsid w:val="16E318AE"/>
    <w:rsid w:val="16FA09A5"/>
    <w:rsid w:val="16FE2B67"/>
    <w:rsid w:val="17041BB3"/>
    <w:rsid w:val="170535D2"/>
    <w:rsid w:val="170830C2"/>
    <w:rsid w:val="170B670F"/>
    <w:rsid w:val="17116281"/>
    <w:rsid w:val="17176704"/>
    <w:rsid w:val="171B2DF6"/>
    <w:rsid w:val="172E2381"/>
    <w:rsid w:val="174A7237"/>
    <w:rsid w:val="174C7453"/>
    <w:rsid w:val="17516FC0"/>
    <w:rsid w:val="176003B4"/>
    <w:rsid w:val="176C53FF"/>
    <w:rsid w:val="176E561B"/>
    <w:rsid w:val="177644D0"/>
    <w:rsid w:val="17765506"/>
    <w:rsid w:val="177B4A17"/>
    <w:rsid w:val="178122C4"/>
    <w:rsid w:val="178E7A6B"/>
    <w:rsid w:val="17AE6E10"/>
    <w:rsid w:val="17B15FE3"/>
    <w:rsid w:val="17C6262E"/>
    <w:rsid w:val="17E53404"/>
    <w:rsid w:val="17FE0021"/>
    <w:rsid w:val="180A4C18"/>
    <w:rsid w:val="180B10BC"/>
    <w:rsid w:val="181066D2"/>
    <w:rsid w:val="18510A99"/>
    <w:rsid w:val="185D2F9A"/>
    <w:rsid w:val="18651775"/>
    <w:rsid w:val="186D4F52"/>
    <w:rsid w:val="19147B3B"/>
    <w:rsid w:val="191C2E55"/>
    <w:rsid w:val="19297320"/>
    <w:rsid w:val="192C753C"/>
    <w:rsid w:val="1934019F"/>
    <w:rsid w:val="194F6D87"/>
    <w:rsid w:val="19687E48"/>
    <w:rsid w:val="19720CC7"/>
    <w:rsid w:val="1991250E"/>
    <w:rsid w:val="199B1FCC"/>
    <w:rsid w:val="19B82DD5"/>
    <w:rsid w:val="19C84D8B"/>
    <w:rsid w:val="19F142E2"/>
    <w:rsid w:val="19FA7E88"/>
    <w:rsid w:val="1A1311FF"/>
    <w:rsid w:val="1A134258"/>
    <w:rsid w:val="1A2D3320"/>
    <w:rsid w:val="1A3D7527"/>
    <w:rsid w:val="1A424E25"/>
    <w:rsid w:val="1A724EB9"/>
    <w:rsid w:val="1A9B1AC5"/>
    <w:rsid w:val="1AA72145"/>
    <w:rsid w:val="1AAE21D3"/>
    <w:rsid w:val="1AD339E7"/>
    <w:rsid w:val="1AD80FFE"/>
    <w:rsid w:val="1AF21AD7"/>
    <w:rsid w:val="1B0172A6"/>
    <w:rsid w:val="1B0D514B"/>
    <w:rsid w:val="1B210BF7"/>
    <w:rsid w:val="1B4649C2"/>
    <w:rsid w:val="1B487A45"/>
    <w:rsid w:val="1B7B3CCC"/>
    <w:rsid w:val="1B7E3953"/>
    <w:rsid w:val="1B917B2A"/>
    <w:rsid w:val="1B950C9D"/>
    <w:rsid w:val="1B997805"/>
    <w:rsid w:val="1BC62263"/>
    <w:rsid w:val="1BCD6688"/>
    <w:rsid w:val="1BCE12EF"/>
    <w:rsid w:val="1BD143CB"/>
    <w:rsid w:val="1BFB1448"/>
    <w:rsid w:val="1C024584"/>
    <w:rsid w:val="1C136517"/>
    <w:rsid w:val="1C314E69"/>
    <w:rsid w:val="1C681BD8"/>
    <w:rsid w:val="1C6963B1"/>
    <w:rsid w:val="1C720B54"/>
    <w:rsid w:val="1C7A236C"/>
    <w:rsid w:val="1C9E55C6"/>
    <w:rsid w:val="1CAB7398"/>
    <w:rsid w:val="1CC12DB8"/>
    <w:rsid w:val="1CCB2BC8"/>
    <w:rsid w:val="1CD14095"/>
    <w:rsid w:val="1CDF0FCA"/>
    <w:rsid w:val="1CEB14BC"/>
    <w:rsid w:val="1D115195"/>
    <w:rsid w:val="1D2202AF"/>
    <w:rsid w:val="1D2572EE"/>
    <w:rsid w:val="1D291954"/>
    <w:rsid w:val="1D3D339A"/>
    <w:rsid w:val="1D757A66"/>
    <w:rsid w:val="1D83629B"/>
    <w:rsid w:val="1DC064A5"/>
    <w:rsid w:val="1DD27F86"/>
    <w:rsid w:val="1DDB32DF"/>
    <w:rsid w:val="1DE71C83"/>
    <w:rsid w:val="1E004AF3"/>
    <w:rsid w:val="1E0F5BC0"/>
    <w:rsid w:val="1E48649A"/>
    <w:rsid w:val="1E4A3FC0"/>
    <w:rsid w:val="1EBB0A1A"/>
    <w:rsid w:val="1EBC2269"/>
    <w:rsid w:val="1EC024D4"/>
    <w:rsid w:val="1EC21DA9"/>
    <w:rsid w:val="1EDA17E8"/>
    <w:rsid w:val="1EE92861"/>
    <w:rsid w:val="1EF5217E"/>
    <w:rsid w:val="1F2B3DF2"/>
    <w:rsid w:val="1F3A2287"/>
    <w:rsid w:val="1F4E7AE0"/>
    <w:rsid w:val="1F4F21B0"/>
    <w:rsid w:val="1F662D0B"/>
    <w:rsid w:val="1F75506D"/>
    <w:rsid w:val="1F9F20EA"/>
    <w:rsid w:val="1FAE433E"/>
    <w:rsid w:val="1FB931AC"/>
    <w:rsid w:val="1FD77AD6"/>
    <w:rsid w:val="1FED10A7"/>
    <w:rsid w:val="1FFB6E0A"/>
    <w:rsid w:val="20016901"/>
    <w:rsid w:val="20076858"/>
    <w:rsid w:val="201605FE"/>
    <w:rsid w:val="20314E16"/>
    <w:rsid w:val="20346CD6"/>
    <w:rsid w:val="203C5EE5"/>
    <w:rsid w:val="204D4590"/>
    <w:rsid w:val="2054695D"/>
    <w:rsid w:val="2063580D"/>
    <w:rsid w:val="20736062"/>
    <w:rsid w:val="20831A0C"/>
    <w:rsid w:val="208F215E"/>
    <w:rsid w:val="20B6352E"/>
    <w:rsid w:val="20B81D5F"/>
    <w:rsid w:val="20C52024"/>
    <w:rsid w:val="20EA1E10"/>
    <w:rsid w:val="20EC75B1"/>
    <w:rsid w:val="20FD293A"/>
    <w:rsid w:val="21076199"/>
    <w:rsid w:val="210C7C53"/>
    <w:rsid w:val="210E5779"/>
    <w:rsid w:val="211C7E96"/>
    <w:rsid w:val="214107A3"/>
    <w:rsid w:val="214271D1"/>
    <w:rsid w:val="215E4A8A"/>
    <w:rsid w:val="216655B5"/>
    <w:rsid w:val="217C26E3"/>
    <w:rsid w:val="21935C7E"/>
    <w:rsid w:val="21CE6CB6"/>
    <w:rsid w:val="21D751C9"/>
    <w:rsid w:val="21DD1C0A"/>
    <w:rsid w:val="21FC3824"/>
    <w:rsid w:val="22105799"/>
    <w:rsid w:val="22135127"/>
    <w:rsid w:val="22257151"/>
    <w:rsid w:val="223C6316"/>
    <w:rsid w:val="22481542"/>
    <w:rsid w:val="227733A8"/>
    <w:rsid w:val="22905A3A"/>
    <w:rsid w:val="229159BD"/>
    <w:rsid w:val="22947F00"/>
    <w:rsid w:val="22AE0FC2"/>
    <w:rsid w:val="22C02AA3"/>
    <w:rsid w:val="22C93237"/>
    <w:rsid w:val="22D4654E"/>
    <w:rsid w:val="22D73A08"/>
    <w:rsid w:val="22FF7A6F"/>
    <w:rsid w:val="231918B3"/>
    <w:rsid w:val="233D6166"/>
    <w:rsid w:val="23627FFE"/>
    <w:rsid w:val="236A6830"/>
    <w:rsid w:val="23A915A7"/>
    <w:rsid w:val="23A91789"/>
    <w:rsid w:val="23C153D4"/>
    <w:rsid w:val="23C81313"/>
    <w:rsid w:val="23E9602A"/>
    <w:rsid w:val="24073D5B"/>
    <w:rsid w:val="24284DA4"/>
    <w:rsid w:val="242E4575"/>
    <w:rsid w:val="245C4A4D"/>
    <w:rsid w:val="247221CA"/>
    <w:rsid w:val="24741D97"/>
    <w:rsid w:val="248144B4"/>
    <w:rsid w:val="2485441B"/>
    <w:rsid w:val="24DF6DF0"/>
    <w:rsid w:val="253D487F"/>
    <w:rsid w:val="25457290"/>
    <w:rsid w:val="25472D7E"/>
    <w:rsid w:val="254C2D14"/>
    <w:rsid w:val="25537BFE"/>
    <w:rsid w:val="256B13EC"/>
    <w:rsid w:val="256E4A38"/>
    <w:rsid w:val="25761B3F"/>
    <w:rsid w:val="257E6920"/>
    <w:rsid w:val="25900E53"/>
    <w:rsid w:val="259136DE"/>
    <w:rsid w:val="259D4DEC"/>
    <w:rsid w:val="25A62424"/>
    <w:rsid w:val="25E35426"/>
    <w:rsid w:val="26663961"/>
    <w:rsid w:val="2685203A"/>
    <w:rsid w:val="2694142A"/>
    <w:rsid w:val="26CF78A8"/>
    <w:rsid w:val="26EA6341"/>
    <w:rsid w:val="26FD33DF"/>
    <w:rsid w:val="270E1B1F"/>
    <w:rsid w:val="271804EB"/>
    <w:rsid w:val="2727416A"/>
    <w:rsid w:val="27361586"/>
    <w:rsid w:val="274041B2"/>
    <w:rsid w:val="274177CA"/>
    <w:rsid w:val="274255C7"/>
    <w:rsid w:val="27677991"/>
    <w:rsid w:val="278542BB"/>
    <w:rsid w:val="27AF30E6"/>
    <w:rsid w:val="27B5694E"/>
    <w:rsid w:val="27E2170E"/>
    <w:rsid w:val="27ED050F"/>
    <w:rsid w:val="28154C29"/>
    <w:rsid w:val="281A7745"/>
    <w:rsid w:val="281D62A2"/>
    <w:rsid w:val="28327F9F"/>
    <w:rsid w:val="28335AC5"/>
    <w:rsid w:val="28392043"/>
    <w:rsid w:val="283C6103"/>
    <w:rsid w:val="28441A80"/>
    <w:rsid w:val="2849353B"/>
    <w:rsid w:val="284B4A6E"/>
    <w:rsid w:val="28567F30"/>
    <w:rsid w:val="28B430AA"/>
    <w:rsid w:val="28C4326F"/>
    <w:rsid w:val="28E374EB"/>
    <w:rsid w:val="2919115F"/>
    <w:rsid w:val="292D0766"/>
    <w:rsid w:val="295126A7"/>
    <w:rsid w:val="295201CD"/>
    <w:rsid w:val="299D769A"/>
    <w:rsid w:val="299E231A"/>
    <w:rsid w:val="29A749BD"/>
    <w:rsid w:val="29BA46F0"/>
    <w:rsid w:val="29D33B2D"/>
    <w:rsid w:val="2A1536D4"/>
    <w:rsid w:val="2A160988"/>
    <w:rsid w:val="2A1A0CEB"/>
    <w:rsid w:val="2A2C4A41"/>
    <w:rsid w:val="2A7228D5"/>
    <w:rsid w:val="2A992BD6"/>
    <w:rsid w:val="2A9F7561"/>
    <w:rsid w:val="2AF00FFF"/>
    <w:rsid w:val="2AF1252B"/>
    <w:rsid w:val="2AF7727E"/>
    <w:rsid w:val="2B4F658F"/>
    <w:rsid w:val="2B7E34FB"/>
    <w:rsid w:val="2B8E1990"/>
    <w:rsid w:val="2BB16E0A"/>
    <w:rsid w:val="2BBD5138"/>
    <w:rsid w:val="2BF64BBA"/>
    <w:rsid w:val="2BF67536"/>
    <w:rsid w:val="2BFA0C65"/>
    <w:rsid w:val="2C156419"/>
    <w:rsid w:val="2C424529"/>
    <w:rsid w:val="2C45434C"/>
    <w:rsid w:val="2C506C46"/>
    <w:rsid w:val="2C622694"/>
    <w:rsid w:val="2C7B0AC6"/>
    <w:rsid w:val="2C8C39F6"/>
    <w:rsid w:val="2C90798A"/>
    <w:rsid w:val="2CAB6572"/>
    <w:rsid w:val="2CC3566A"/>
    <w:rsid w:val="2CCB2770"/>
    <w:rsid w:val="2CD535EF"/>
    <w:rsid w:val="2CE24253"/>
    <w:rsid w:val="2D1A2D28"/>
    <w:rsid w:val="2D1B188C"/>
    <w:rsid w:val="2D2B5693"/>
    <w:rsid w:val="2D2D6F87"/>
    <w:rsid w:val="2D2F7591"/>
    <w:rsid w:val="2D517119"/>
    <w:rsid w:val="2D687FBF"/>
    <w:rsid w:val="2D720E3E"/>
    <w:rsid w:val="2D850B71"/>
    <w:rsid w:val="2DA01E4F"/>
    <w:rsid w:val="2DA81FD3"/>
    <w:rsid w:val="2DB256DE"/>
    <w:rsid w:val="2DBD5D55"/>
    <w:rsid w:val="2DC45B3D"/>
    <w:rsid w:val="2DCC2763"/>
    <w:rsid w:val="2DF857E7"/>
    <w:rsid w:val="2E0C1292"/>
    <w:rsid w:val="2E112CD6"/>
    <w:rsid w:val="2E192F21"/>
    <w:rsid w:val="2E222864"/>
    <w:rsid w:val="2E2A1718"/>
    <w:rsid w:val="2E2C471E"/>
    <w:rsid w:val="2E513149"/>
    <w:rsid w:val="2E5844D8"/>
    <w:rsid w:val="2E76670C"/>
    <w:rsid w:val="2E8B3642"/>
    <w:rsid w:val="2EAB0AAB"/>
    <w:rsid w:val="2EDD678B"/>
    <w:rsid w:val="2EE30245"/>
    <w:rsid w:val="2EFF4953"/>
    <w:rsid w:val="2F1403FE"/>
    <w:rsid w:val="2F176141"/>
    <w:rsid w:val="2F5B753C"/>
    <w:rsid w:val="2F7074B2"/>
    <w:rsid w:val="2F837332"/>
    <w:rsid w:val="2F8900FB"/>
    <w:rsid w:val="2F9037FD"/>
    <w:rsid w:val="2FAA48BF"/>
    <w:rsid w:val="2FC511AE"/>
    <w:rsid w:val="2FCA14CD"/>
    <w:rsid w:val="2FCA6D0F"/>
    <w:rsid w:val="2FE222AB"/>
    <w:rsid w:val="2FE53B49"/>
    <w:rsid w:val="2FF40230"/>
    <w:rsid w:val="30185CCC"/>
    <w:rsid w:val="30517430"/>
    <w:rsid w:val="305D7B83"/>
    <w:rsid w:val="30640F12"/>
    <w:rsid w:val="30711881"/>
    <w:rsid w:val="308E41E1"/>
    <w:rsid w:val="308E5F8F"/>
    <w:rsid w:val="30913CD1"/>
    <w:rsid w:val="30A237E4"/>
    <w:rsid w:val="30AD3F25"/>
    <w:rsid w:val="311154ED"/>
    <w:rsid w:val="31141A38"/>
    <w:rsid w:val="311C1421"/>
    <w:rsid w:val="312126F9"/>
    <w:rsid w:val="313A1C72"/>
    <w:rsid w:val="316B62D0"/>
    <w:rsid w:val="316D3DF6"/>
    <w:rsid w:val="31782A3A"/>
    <w:rsid w:val="317909ED"/>
    <w:rsid w:val="3179279B"/>
    <w:rsid w:val="318850D4"/>
    <w:rsid w:val="31886E82"/>
    <w:rsid w:val="31A35A6A"/>
    <w:rsid w:val="31C348C7"/>
    <w:rsid w:val="31D86352"/>
    <w:rsid w:val="31FB7654"/>
    <w:rsid w:val="32063D7A"/>
    <w:rsid w:val="322746E6"/>
    <w:rsid w:val="322C1F03"/>
    <w:rsid w:val="32346EA3"/>
    <w:rsid w:val="323F1C36"/>
    <w:rsid w:val="324E62D3"/>
    <w:rsid w:val="32650761"/>
    <w:rsid w:val="327335C2"/>
    <w:rsid w:val="32794A1C"/>
    <w:rsid w:val="327F0285"/>
    <w:rsid w:val="32B96B45"/>
    <w:rsid w:val="32BF3B8D"/>
    <w:rsid w:val="32C453D4"/>
    <w:rsid w:val="32CC7242"/>
    <w:rsid w:val="32D44EC8"/>
    <w:rsid w:val="32D560F7"/>
    <w:rsid w:val="32D700C1"/>
    <w:rsid w:val="32E70C3E"/>
    <w:rsid w:val="32EE0F67"/>
    <w:rsid w:val="32F26FC1"/>
    <w:rsid w:val="330C5891"/>
    <w:rsid w:val="3317670F"/>
    <w:rsid w:val="33344C73"/>
    <w:rsid w:val="33453470"/>
    <w:rsid w:val="335A484E"/>
    <w:rsid w:val="335C6818"/>
    <w:rsid w:val="336B3220"/>
    <w:rsid w:val="33705E1F"/>
    <w:rsid w:val="337B4EF0"/>
    <w:rsid w:val="339715FE"/>
    <w:rsid w:val="33C64EFA"/>
    <w:rsid w:val="33CD6DCE"/>
    <w:rsid w:val="33EA4B5F"/>
    <w:rsid w:val="33F26834"/>
    <w:rsid w:val="340622E0"/>
    <w:rsid w:val="340C5B48"/>
    <w:rsid w:val="34190265"/>
    <w:rsid w:val="341B222F"/>
    <w:rsid w:val="343479C5"/>
    <w:rsid w:val="346F257B"/>
    <w:rsid w:val="347D6A46"/>
    <w:rsid w:val="34BB756E"/>
    <w:rsid w:val="34D157E5"/>
    <w:rsid w:val="34E940DB"/>
    <w:rsid w:val="350554CF"/>
    <w:rsid w:val="35287FC3"/>
    <w:rsid w:val="35560701"/>
    <w:rsid w:val="357240D1"/>
    <w:rsid w:val="358545E8"/>
    <w:rsid w:val="359F29EC"/>
    <w:rsid w:val="35A40002"/>
    <w:rsid w:val="35AA3B0C"/>
    <w:rsid w:val="35F542B6"/>
    <w:rsid w:val="36162CAE"/>
    <w:rsid w:val="3619279E"/>
    <w:rsid w:val="36315D3A"/>
    <w:rsid w:val="36356C1B"/>
    <w:rsid w:val="364A2958"/>
    <w:rsid w:val="368F480F"/>
    <w:rsid w:val="369736C3"/>
    <w:rsid w:val="36D108FB"/>
    <w:rsid w:val="36D65DDA"/>
    <w:rsid w:val="36E46146"/>
    <w:rsid w:val="36E7289C"/>
    <w:rsid w:val="36EE75E5"/>
    <w:rsid w:val="36EF1119"/>
    <w:rsid w:val="371D1E1A"/>
    <w:rsid w:val="372431A9"/>
    <w:rsid w:val="374455F9"/>
    <w:rsid w:val="37863E63"/>
    <w:rsid w:val="379E4014"/>
    <w:rsid w:val="37AB5678"/>
    <w:rsid w:val="37D72911"/>
    <w:rsid w:val="37DD15AA"/>
    <w:rsid w:val="37DF17C6"/>
    <w:rsid w:val="38044D88"/>
    <w:rsid w:val="382D42DF"/>
    <w:rsid w:val="385C6972"/>
    <w:rsid w:val="38926838"/>
    <w:rsid w:val="389941AE"/>
    <w:rsid w:val="38AF2F46"/>
    <w:rsid w:val="38B57E8B"/>
    <w:rsid w:val="38D429AD"/>
    <w:rsid w:val="38DA0D8B"/>
    <w:rsid w:val="38FC52CB"/>
    <w:rsid w:val="392576AC"/>
    <w:rsid w:val="39365415"/>
    <w:rsid w:val="393B2A2C"/>
    <w:rsid w:val="39476C76"/>
    <w:rsid w:val="39510164"/>
    <w:rsid w:val="3995213C"/>
    <w:rsid w:val="39965EB4"/>
    <w:rsid w:val="399E1130"/>
    <w:rsid w:val="39B60304"/>
    <w:rsid w:val="39B65203"/>
    <w:rsid w:val="39CF674E"/>
    <w:rsid w:val="39D30EB6"/>
    <w:rsid w:val="39D94D88"/>
    <w:rsid w:val="39F03816"/>
    <w:rsid w:val="3A483652"/>
    <w:rsid w:val="3A766C80"/>
    <w:rsid w:val="3A775598"/>
    <w:rsid w:val="3A82258E"/>
    <w:rsid w:val="3AA27206"/>
    <w:rsid w:val="3AA34D2C"/>
    <w:rsid w:val="3AAF722D"/>
    <w:rsid w:val="3AE0388B"/>
    <w:rsid w:val="3AF37C06"/>
    <w:rsid w:val="3AFD36B2"/>
    <w:rsid w:val="3B293588"/>
    <w:rsid w:val="3B2D7CF9"/>
    <w:rsid w:val="3B331C0C"/>
    <w:rsid w:val="3B530403"/>
    <w:rsid w:val="3B7F4E52"/>
    <w:rsid w:val="3BA37EBC"/>
    <w:rsid w:val="3BB207A9"/>
    <w:rsid w:val="3BEF351D"/>
    <w:rsid w:val="3C0E030A"/>
    <w:rsid w:val="3C5531C4"/>
    <w:rsid w:val="3C6978B0"/>
    <w:rsid w:val="3C6D114E"/>
    <w:rsid w:val="3C6D55F2"/>
    <w:rsid w:val="3C7F70D3"/>
    <w:rsid w:val="3CBD0327"/>
    <w:rsid w:val="3CD236A7"/>
    <w:rsid w:val="3CE4322C"/>
    <w:rsid w:val="3CFF62C1"/>
    <w:rsid w:val="3D03792A"/>
    <w:rsid w:val="3D406863"/>
    <w:rsid w:val="3D736C38"/>
    <w:rsid w:val="3D762284"/>
    <w:rsid w:val="3D8A5D30"/>
    <w:rsid w:val="3DAF5796"/>
    <w:rsid w:val="3DCB0822"/>
    <w:rsid w:val="3DD11BB1"/>
    <w:rsid w:val="3DDA6CB7"/>
    <w:rsid w:val="3DE2791A"/>
    <w:rsid w:val="3DE844EE"/>
    <w:rsid w:val="3E210442"/>
    <w:rsid w:val="3E497999"/>
    <w:rsid w:val="3E5652A9"/>
    <w:rsid w:val="3E7D28B8"/>
    <w:rsid w:val="3E810EE1"/>
    <w:rsid w:val="3E94330A"/>
    <w:rsid w:val="3EDA633B"/>
    <w:rsid w:val="3EE24A31"/>
    <w:rsid w:val="3EE65A25"/>
    <w:rsid w:val="3EEF2FDD"/>
    <w:rsid w:val="3F091728"/>
    <w:rsid w:val="3F147FA7"/>
    <w:rsid w:val="3F156ABE"/>
    <w:rsid w:val="3F3423F7"/>
    <w:rsid w:val="3F3F6F12"/>
    <w:rsid w:val="3F6C7DE3"/>
    <w:rsid w:val="3F6D4D23"/>
    <w:rsid w:val="3F717907"/>
    <w:rsid w:val="3F7B0026"/>
    <w:rsid w:val="3FE43E1D"/>
    <w:rsid w:val="400224F5"/>
    <w:rsid w:val="4037219F"/>
    <w:rsid w:val="403D7DAC"/>
    <w:rsid w:val="4042166F"/>
    <w:rsid w:val="404B5C4A"/>
    <w:rsid w:val="405F7922"/>
    <w:rsid w:val="4079250F"/>
    <w:rsid w:val="408528FD"/>
    <w:rsid w:val="408D1DBF"/>
    <w:rsid w:val="40B50194"/>
    <w:rsid w:val="40B7131D"/>
    <w:rsid w:val="40C92509"/>
    <w:rsid w:val="40D43E92"/>
    <w:rsid w:val="40DC2F7B"/>
    <w:rsid w:val="40E165AE"/>
    <w:rsid w:val="40F90640"/>
    <w:rsid w:val="40F97454"/>
    <w:rsid w:val="40FE0F0E"/>
    <w:rsid w:val="410353D4"/>
    <w:rsid w:val="4129079D"/>
    <w:rsid w:val="41362456"/>
    <w:rsid w:val="413E6292"/>
    <w:rsid w:val="414A4154"/>
    <w:rsid w:val="41547EEF"/>
    <w:rsid w:val="416C5E78"/>
    <w:rsid w:val="41D67795"/>
    <w:rsid w:val="42125AB0"/>
    <w:rsid w:val="42322F7E"/>
    <w:rsid w:val="423D7815"/>
    <w:rsid w:val="425A1A7E"/>
    <w:rsid w:val="425B1256"/>
    <w:rsid w:val="425D1C65"/>
    <w:rsid w:val="426923B8"/>
    <w:rsid w:val="427A7A72"/>
    <w:rsid w:val="428810BC"/>
    <w:rsid w:val="429733C9"/>
    <w:rsid w:val="42B54BD7"/>
    <w:rsid w:val="42C50201"/>
    <w:rsid w:val="42C82DCC"/>
    <w:rsid w:val="42CD0F79"/>
    <w:rsid w:val="42F308B1"/>
    <w:rsid w:val="430622FC"/>
    <w:rsid w:val="431B4D38"/>
    <w:rsid w:val="432F3601"/>
    <w:rsid w:val="434B5F61"/>
    <w:rsid w:val="436A288B"/>
    <w:rsid w:val="436F150F"/>
    <w:rsid w:val="437C65E6"/>
    <w:rsid w:val="438356FB"/>
    <w:rsid w:val="438D657A"/>
    <w:rsid w:val="43965C7E"/>
    <w:rsid w:val="43A85162"/>
    <w:rsid w:val="43B9736F"/>
    <w:rsid w:val="43BD0C0D"/>
    <w:rsid w:val="43BE0DBB"/>
    <w:rsid w:val="43C27FD1"/>
    <w:rsid w:val="43C97FB6"/>
    <w:rsid w:val="43D04E29"/>
    <w:rsid w:val="43E443EC"/>
    <w:rsid w:val="43F860E9"/>
    <w:rsid w:val="44047066"/>
    <w:rsid w:val="4407632C"/>
    <w:rsid w:val="440F4264"/>
    <w:rsid w:val="442C4F6E"/>
    <w:rsid w:val="4439400C"/>
    <w:rsid w:val="44586B88"/>
    <w:rsid w:val="445A645C"/>
    <w:rsid w:val="446C618F"/>
    <w:rsid w:val="447418D4"/>
    <w:rsid w:val="448434D9"/>
    <w:rsid w:val="44961E91"/>
    <w:rsid w:val="449E2DE4"/>
    <w:rsid w:val="44AE49FA"/>
    <w:rsid w:val="44FF34A7"/>
    <w:rsid w:val="45273A9E"/>
    <w:rsid w:val="45316E0E"/>
    <w:rsid w:val="454431AD"/>
    <w:rsid w:val="454669E0"/>
    <w:rsid w:val="45561319"/>
    <w:rsid w:val="458A0237"/>
    <w:rsid w:val="459C2AA4"/>
    <w:rsid w:val="45F417FC"/>
    <w:rsid w:val="46032B23"/>
    <w:rsid w:val="46273D4C"/>
    <w:rsid w:val="465150D1"/>
    <w:rsid w:val="46546A9C"/>
    <w:rsid w:val="46560512"/>
    <w:rsid w:val="46625A9C"/>
    <w:rsid w:val="468066F6"/>
    <w:rsid w:val="469A6FE4"/>
    <w:rsid w:val="46A51BBA"/>
    <w:rsid w:val="46B11B10"/>
    <w:rsid w:val="46D324F5"/>
    <w:rsid w:val="46F8008E"/>
    <w:rsid w:val="46F90E7B"/>
    <w:rsid w:val="47046B53"/>
    <w:rsid w:val="472C4716"/>
    <w:rsid w:val="47393DE0"/>
    <w:rsid w:val="473D52E7"/>
    <w:rsid w:val="47456A20"/>
    <w:rsid w:val="474927B8"/>
    <w:rsid w:val="474B29D4"/>
    <w:rsid w:val="474B4782"/>
    <w:rsid w:val="475F022D"/>
    <w:rsid w:val="4768185C"/>
    <w:rsid w:val="47775577"/>
    <w:rsid w:val="47836D5B"/>
    <w:rsid w:val="478D398E"/>
    <w:rsid w:val="47966882"/>
    <w:rsid w:val="479766BE"/>
    <w:rsid w:val="47A066EA"/>
    <w:rsid w:val="47A83B7A"/>
    <w:rsid w:val="47C85DD2"/>
    <w:rsid w:val="47D74267"/>
    <w:rsid w:val="47D91D8D"/>
    <w:rsid w:val="480A0199"/>
    <w:rsid w:val="4819662E"/>
    <w:rsid w:val="48396AC9"/>
    <w:rsid w:val="483F0533"/>
    <w:rsid w:val="485E76F8"/>
    <w:rsid w:val="48756175"/>
    <w:rsid w:val="48884CC8"/>
    <w:rsid w:val="48B06F92"/>
    <w:rsid w:val="48B63E7D"/>
    <w:rsid w:val="48BF0798"/>
    <w:rsid w:val="48C26CC5"/>
    <w:rsid w:val="48FE3445"/>
    <w:rsid w:val="49076718"/>
    <w:rsid w:val="490E1F0B"/>
    <w:rsid w:val="49341828"/>
    <w:rsid w:val="49351245"/>
    <w:rsid w:val="49441489"/>
    <w:rsid w:val="495711BC"/>
    <w:rsid w:val="496318B2"/>
    <w:rsid w:val="498B5653"/>
    <w:rsid w:val="499713DC"/>
    <w:rsid w:val="49A05D40"/>
    <w:rsid w:val="49A168DB"/>
    <w:rsid w:val="49AA1C33"/>
    <w:rsid w:val="49AC7F6A"/>
    <w:rsid w:val="49BF37F4"/>
    <w:rsid w:val="49E43E70"/>
    <w:rsid w:val="4A001853"/>
    <w:rsid w:val="4A0F1A96"/>
    <w:rsid w:val="4A1B519B"/>
    <w:rsid w:val="4A7B75C1"/>
    <w:rsid w:val="4A800BE6"/>
    <w:rsid w:val="4A8F4985"/>
    <w:rsid w:val="4AA5064D"/>
    <w:rsid w:val="4AA91B61"/>
    <w:rsid w:val="4AA94B8B"/>
    <w:rsid w:val="4AC82712"/>
    <w:rsid w:val="4ADD4185"/>
    <w:rsid w:val="4B090BDC"/>
    <w:rsid w:val="4B133808"/>
    <w:rsid w:val="4B1C090F"/>
    <w:rsid w:val="4B386DCB"/>
    <w:rsid w:val="4B3F55CA"/>
    <w:rsid w:val="4B4E4840"/>
    <w:rsid w:val="4B58746D"/>
    <w:rsid w:val="4B6D2CD4"/>
    <w:rsid w:val="4BBD08C2"/>
    <w:rsid w:val="4BC871E5"/>
    <w:rsid w:val="4BCA036B"/>
    <w:rsid w:val="4BDF193C"/>
    <w:rsid w:val="4BF947AC"/>
    <w:rsid w:val="4C0718EE"/>
    <w:rsid w:val="4C07648F"/>
    <w:rsid w:val="4C125219"/>
    <w:rsid w:val="4C1B0BC7"/>
    <w:rsid w:val="4C207F8B"/>
    <w:rsid w:val="4C392DFB"/>
    <w:rsid w:val="4C3C5020"/>
    <w:rsid w:val="4C3E4B68"/>
    <w:rsid w:val="4C416153"/>
    <w:rsid w:val="4C4730D6"/>
    <w:rsid w:val="4C5639AD"/>
    <w:rsid w:val="4C604A40"/>
    <w:rsid w:val="4C642CA9"/>
    <w:rsid w:val="4C681932"/>
    <w:rsid w:val="4C6961AB"/>
    <w:rsid w:val="4C85013C"/>
    <w:rsid w:val="4C8D2A10"/>
    <w:rsid w:val="4CAE37E9"/>
    <w:rsid w:val="4CB117BA"/>
    <w:rsid w:val="4CBE7616"/>
    <w:rsid w:val="4CC90733"/>
    <w:rsid w:val="4CDB1BD1"/>
    <w:rsid w:val="4D202EFB"/>
    <w:rsid w:val="4D317F76"/>
    <w:rsid w:val="4D3B0DF4"/>
    <w:rsid w:val="4D52686A"/>
    <w:rsid w:val="4D782049"/>
    <w:rsid w:val="4D933887"/>
    <w:rsid w:val="4DB2248C"/>
    <w:rsid w:val="4DC109C8"/>
    <w:rsid w:val="4DC86B2C"/>
    <w:rsid w:val="4DD23507"/>
    <w:rsid w:val="4DD80463"/>
    <w:rsid w:val="4DDD3C5A"/>
    <w:rsid w:val="4DEA0552"/>
    <w:rsid w:val="4DF81CC9"/>
    <w:rsid w:val="4DFF0074"/>
    <w:rsid w:val="4E30647F"/>
    <w:rsid w:val="4E726A98"/>
    <w:rsid w:val="4E7B3B9E"/>
    <w:rsid w:val="4E86609F"/>
    <w:rsid w:val="4E882861"/>
    <w:rsid w:val="4EAC01FC"/>
    <w:rsid w:val="4EB3158A"/>
    <w:rsid w:val="4ED4505D"/>
    <w:rsid w:val="4F026696"/>
    <w:rsid w:val="4F041DE6"/>
    <w:rsid w:val="4F0477B8"/>
    <w:rsid w:val="4F0E67C1"/>
    <w:rsid w:val="4F1D4C56"/>
    <w:rsid w:val="4F2204BE"/>
    <w:rsid w:val="4F366BAB"/>
    <w:rsid w:val="4F5978E6"/>
    <w:rsid w:val="4F9A62A6"/>
    <w:rsid w:val="4F9B0ABD"/>
    <w:rsid w:val="4FB355BA"/>
    <w:rsid w:val="4FD77F55"/>
    <w:rsid w:val="4FE13ED5"/>
    <w:rsid w:val="4FEE65F2"/>
    <w:rsid w:val="4FFD36F1"/>
    <w:rsid w:val="4FFF6109"/>
    <w:rsid w:val="501C6CBB"/>
    <w:rsid w:val="50290665"/>
    <w:rsid w:val="50306C0B"/>
    <w:rsid w:val="503C55AF"/>
    <w:rsid w:val="503F29AA"/>
    <w:rsid w:val="50416722"/>
    <w:rsid w:val="50441B93"/>
    <w:rsid w:val="50483F54"/>
    <w:rsid w:val="50551061"/>
    <w:rsid w:val="505D7080"/>
    <w:rsid w:val="5077157C"/>
    <w:rsid w:val="5088249E"/>
    <w:rsid w:val="50AF5D81"/>
    <w:rsid w:val="50BB0AAE"/>
    <w:rsid w:val="510D4856"/>
    <w:rsid w:val="511048E2"/>
    <w:rsid w:val="51277767"/>
    <w:rsid w:val="512F6EC2"/>
    <w:rsid w:val="514211D2"/>
    <w:rsid w:val="51426BF5"/>
    <w:rsid w:val="515E2B63"/>
    <w:rsid w:val="51616342"/>
    <w:rsid w:val="51657785"/>
    <w:rsid w:val="51794369"/>
    <w:rsid w:val="51832642"/>
    <w:rsid w:val="5186516E"/>
    <w:rsid w:val="518C7E71"/>
    <w:rsid w:val="51BB01A8"/>
    <w:rsid w:val="51DB6702"/>
    <w:rsid w:val="51E97071"/>
    <w:rsid w:val="523D7693"/>
    <w:rsid w:val="525E68E9"/>
    <w:rsid w:val="525E7A5F"/>
    <w:rsid w:val="52686092"/>
    <w:rsid w:val="528248CC"/>
    <w:rsid w:val="528B4F09"/>
    <w:rsid w:val="52A23101"/>
    <w:rsid w:val="52AD62F0"/>
    <w:rsid w:val="52B60C42"/>
    <w:rsid w:val="52DB10B0"/>
    <w:rsid w:val="52E635B0"/>
    <w:rsid w:val="52E77F2A"/>
    <w:rsid w:val="52F45CCD"/>
    <w:rsid w:val="53034162"/>
    <w:rsid w:val="533D58C6"/>
    <w:rsid w:val="533F163E"/>
    <w:rsid w:val="535A19DF"/>
    <w:rsid w:val="5362532D"/>
    <w:rsid w:val="537A44F5"/>
    <w:rsid w:val="538C4158"/>
    <w:rsid w:val="53A5234E"/>
    <w:rsid w:val="53BA0CC5"/>
    <w:rsid w:val="53D32026"/>
    <w:rsid w:val="54077BA7"/>
    <w:rsid w:val="540F529D"/>
    <w:rsid w:val="544669FD"/>
    <w:rsid w:val="544D1B39"/>
    <w:rsid w:val="545C1D60"/>
    <w:rsid w:val="5479292E"/>
    <w:rsid w:val="547C74AB"/>
    <w:rsid w:val="54901A26"/>
    <w:rsid w:val="54A11E85"/>
    <w:rsid w:val="54AB2882"/>
    <w:rsid w:val="54AF45A2"/>
    <w:rsid w:val="54B3782F"/>
    <w:rsid w:val="54B90F7D"/>
    <w:rsid w:val="54CF254E"/>
    <w:rsid w:val="54D758A7"/>
    <w:rsid w:val="54EB4EAE"/>
    <w:rsid w:val="54F36B90"/>
    <w:rsid w:val="55012924"/>
    <w:rsid w:val="552A6E5F"/>
    <w:rsid w:val="5583158B"/>
    <w:rsid w:val="5598304D"/>
    <w:rsid w:val="559B0682"/>
    <w:rsid w:val="55A11D00"/>
    <w:rsid w:val="55AA6B17"/>
    <w:rsid w:val="55C20305"/>
    <w:rsid w:val="56020701"/>
    <w:rsid w:val="565A053D"/>
    <w:rsid w:val="56A87DAB"/>
    <w:rsid w:val="56C87B9D"/>
    <w:rsid w:val="56D54068"/>
    <w:rsid w:val="570404A9"/>
    <w:rsid w:val="57201787"/>
    <w:rsid w:val="57247BBB"/>
    <w:rsid w:val="57266671"/>
    <w:rsid w:val="573449BA"/>
    <w:rsid w:val="5748081E"/>
    <w:rsid w:val="57776ECD"/>
    <w:rsid w:val="57783371"/>
    <w:rsid w:val="57AA72A2"/>
    <w:rsid w:val="57BA7059"/>
    <w:rsid w:val="57CA34A1"/>
    <w:rsid w:val="57F05693"/>
    <w:rsid w:val="57F616F8"/>
    <w:rsid w:val="58095D77"/>
    <w:rsid w:val="58233A9D"/>
    <w:rsid w:val="584A217E"/>
    <w:rsid w:val="584B45E2"/>
    <w:rsid w:val="585532A1"/>
    <w:rsid w:val="58565030"/>
    <w:rsid w:val="585A2A77"/>
    <w:rsid w:val="58694A68"/>
    <w:rsid w:val="58951D01"/>
    <w:rsid w:val="589B073E"/>
    <w:rsid w:val="58A22362"/>
    <w:rsid w:val="58A600B4"/>
    <w:rsid w:val="58D2260D"/>
    <w:rsid w:val="58F85DEC"/>
    <w:rsid w:val="590727E7"/>
    <w:rsid w:val="59325C83"/>
    <w:rsid w:val="5954059F"/>
    <w:rsid w:val="59561490"/>
    <w:rsid w:val="595C637A"/>
    <w:rsid w:val="595E20F3"/>
    <w:rsid w:val="59605E6B"/>
    <w:rsid w:val="596B480F"/>
    <w:rsid w:val="597069F0"/>
    <w:rsid w:val="59725B9E"/>
    <w:rsid w:val="59B0169C"/>
    <w:rsid w:val="59B02563"/>
    <w:rsid w:val="59B61643"/>
    <w:rsid w:val="59BE7035"/>
    <w:rsid w:val="59E56370"/>
    <w:rsid w:val="5A0121BB"/>
    <w:rsid w:val="5A273210"/>
    <w:rsid w:val="5A294F28"/>
    <w:rsid w:val="5A3E7CCC"/>
    <w:rsid w:val="5A431AC3"/>
    <w:rsid w:val="5A717412"/>
    <w:rsid w:val="5A751911"/>
    <w:rsid w:val="5A7F0572"/>
    <w:rsid w:val="5A805D61"/>
    <w:rsid w:val="5A957D96"/>
    <w:rsid w:val="5A9D6C4B"/>
    <w:rsid w:val="5AA004E9"/>
    <w:rsid w:val="5AA12BDF"/>
    <w:rsid w:val="5AA314A7"/>
    <w:rsid w:val="5ABA7BFC"/>
    <w:rsid w:val="5AC36D53"/>
    <w:rsid w:val="5AC661A1"/>
    <w:rsid w:val="5B0D2022"/>
    <w:rsid w:val="5B195BCF"/>
    <w:rsid w:val="5B3D3F8A"/>
    <w:rsid w:val="5B417F1E"/>
    <w:rsid w:val="5B520F0E"/>
    <w:rsid w:val="5B6854AA"/>
    <w:rsid w:val="5B736AA2"/>
    <w:rsid w:val="5B77438F"/>
    <w:rsid w:val="5B7B3430"/>
    <w:rsid w:val="5B85605C"/>
    <w:rsid w:val="5B955B74"/>
    <w:rsid w:val="5B977B3E"/>
    <w:rsid w:val="5BA2386D"/>
    <w:rsid w:val="5BBA77B0"/>
    <w:rsid w:val="5BC326E1"/>
    <w:rsid w:val="5BE72873"/>
    <w:rsid w:val="5BE97D19"/>
    <w:rsid w:val="5BF671C1"/>
    <w:rsid w:val="5C0A0310"/>
    <w:rsid w:val="5C2042B0"/>
    <w:rsid w:val="5C216699"/>
    <w:rsid w:val="5C412946"/>
    <w:rsid w:val="5C502557"/>
    <w:rsid w:val="5C930814"/>
    <w:rsid w:val="5CA50038"/>
    <w:rsid w:val="5CDF6871"/>
    <w:rsid w:val="5CE24DE9"/>
    <w:rsid w:val="5CFD7D2C"/>
    <w:rsid w:val="5D071531"/>
    <w:rsid w:val="5D1160E9"/>
    <w:rsid w:val="5D1A0A26"/>
    <w:rsid w:val="5D447851"/>
    <w:rsid w:val="5D6F5336"/>
    <w:rsid w:val="5D753CFA"/>
    <w:rsid w:val="5D804D2D"/>
    <w:rsid w:val="5D8162A2"/>
    <w:rsid w:val="5D875085"/>
    <w:rsid w:val="5D9500AD"/>
    <w:rsid w:val="5DB524FD"/>
    <w:rsid w:val="5DCF3183"/>
    <w:rsid w:val="5DD72473"/>
    <w:rsid w:val="5DFF19E2"/>
    <w:rsid w:val="5E007C1C"/>
    <w:rsid w:val="5E06534C"/>
    <w:rsid w:val="5E0771FD"/>
    <w:rsid w:val="5E07753A"/>
    <w:rsid w:val="5E257683"/>
    <w:rsid w:val="5E3E6CDB"/>
    <w:rsid w:val="5E6A153A"/>
    <w:rsid w:val="5E6C23D7"/>
    <w:rsid w:val="5E930A90"/>
    <w:rsid w:val="5E9B16F3"/>
    <w:rsid w:val="5E9B5B97"/>
    <w:rsid w:val="5E9F11E3"/>
    <w:rsid w:val="5EB153BA"/>
    <w:rsid w:val="5EB84053"/>
    <w:rsid w:val="5EBA426F"/>
    <w:rsid w:val="5EC944B2"/>
    <w:rsid w:val="5ECA0A0D"/>
    <w:rsid w:val="5ECB647C"/>
    <w:rsid w:val="5EE50BC0"/>
    <w:rsid w:val="5EE66E12"/>
    <w:rsid w:val="5F0059FA"/>
    <w:rsid w:val="5F027744"/>
    <w:rsid w:val="5F1514A5"/>
    <w:rsid w:val="5F2B6F1B"/>
    <w:rsid w:val="5F7062A4"/>
    <w:rsid w:val="5F7F1015"/>
    <w:rsid w:val="5F903222"/>
    <w:rsid w:val="5F984189"/>
    <w:rsid w:val="5F993E84"/>
    <w:rsid w:val="5FB46F10"/>
    <w:rsid w:val="5FD21144"/>
    <w:rsid w:val="5FDD1995"/>
    <w:rsid w:val="5FDE3F8D"/>
    <w:rsid w:val="5FE175D9"/>
    <w:rsid w:val="5FF24664"/>
    <w:rsid w:val="60123FA1"/>
    <w:rsid w:val="60143D69"/>
    <w:rsid w:val="601D2D07"/>
    <w:rsid w:val="602A5424"/>
    <w:rsid w:val="604C21A0"/>
    <w:rsid w:val="60675D31"/>
    <w:rsid w:val="60A415A2"/>
    <w:rsid w:val="60DA27DC"/>
    <w:rsid w:val="610D2314"/>
    <w:rsid w:val="61120392"/>
    <w:rsid w:val="611D2B72"/>
    <w:rsid w:val="61493688"/>
    <w:rsid w:val="615E35D8"/>
    <w:rsid w:val="616C31C5"/>
    <w:rsid w:val="616F34A9"/>
    <w:rsid w:val="618D2FE3"/>
    <w:rsid w:val="61954B1F"/>
    <w:rsid w:val="61CF2669"/>
    <w:rsid w:val="61E84C4F"/>
    <w:rsid w:val="61E909C7"/>
    <w:rsid w:val="620B3B20"/>
    <w:rsid w:val="620E439B"/>
    <w:rsid w:val="622D3E96"/>
    <w:rsid w:val="62361E5F"/>
    <w:rsid w:val="624A5BD6"/>
    <w:rsid w:val="6283789C"/>
    <w:rsid w:val="628726BA"/>
    <w:rsid w:val="62E96ED1"/>
    <w:rsid w:val="63131192"/>
    <w:rsid w:val="63273E9D"/>
    <w:rsid w:val="63473BF7"/>
    <w:rsid w:val="635B58F5"/>
    <w:rsid w:val="63676048"/>
    <w:rsid w:val="638B442C"/>
    <w:rsid w:val="639612BC"/>
    <w:rsid w:val="6397692D"/>
    <w:rsid w:val="639B16A7"/>
    <w:rsid w:val="63A454EE"/>
    <w:rsid w:val="63B82D47"/>
    <w:rsid w:val="63C83BAD"/>
    <w:rsid w:val="63D4210A"/>
    <w:rsid w:val="63D57455"/>
    <w:rsid w:val="63FA3360"/>
    <w:rsid w:val="6410048D"/>
    <w:rsid w:val="641937E6"/>
    <w:rsid w:val="6431074C"/>
    <w:rsid w:val="643E438A"/>
    <w:rsid w:val="646709F5"/>
    <w:rsid w:val="64760C38"/>
    <w:rsid w:val="648B4554"/>
    <w:rsid w:val="649829A9"/>
    <w:rsid w:val="64A4665C"/>
    <w:rsid w:val="64CC4157"/>
    <w:rsid w:val="64E37F22"/>
    <w:rsid w:val="64F17940"/>
    <w:rsid w:val="64F61D79"/>
    <w:rsid w:val="651D4188"/>
    <w:rsid w:val="651E4E2C"/>
    <w:rsid w:val="65233B6D"/>
    <w:rsid w:val="655B4BF5"/>
    <w:rsid w:val="65640615"/>
    <w:rsid w:val="65A74E21"/>
    <w:rsid w:val="65BA4B55"/>
    <w:rsid w:val="65BD63F3"/>
    <w:rsid w:val="65C14135"/>
    <w:rsid w:val="65D976D1"/>
    <w:rsid w:val="65DB4AC9"/>
    <w:rsid w:val="65E816C2"/>
    <w:rsid w:val="66065FEC"/>
    <w:rsid w:val="66067D9A"/>
    <w:rsid w:val="661B78FF"/>
    <w:rsid w:val="66471DD2"/>
    <w:rsid w:val="664D7777"/>
    <w:rsid w:val="66546D57"/>
    <w:rsid w:val="665D7027"/>
    <w:rsid w:val="66811B16"/>
    <w:rsid w:val="6697332B"/>
    <w:rsid w:val="66F320E6"/>
    <w:rsid w:val="66FD7876"/>
    <w:rsid w:val="676254A4"/>
    <w:rsid w:val="67683120"/>
    <w:rsid w:val="679A69EC"/>
    <w:rsid w:val="67A45ABC"/>
    <w:rsid w:val="67C07AB7"/>
    <w:rsid w:val="67C1041C"/>
    <w:rsid w:val="67E41AF9"/>
    <w:rsid w:val="67EB5499"/>
    <w:rsid w:val="67ED628D"/>
    <w:rsid w:val="68024591"/>
    <w:rsid w:val="68185D8D"/>
    <w:rsid w:val="682D2B67"/>
    <w:rsid w:val="68307350"/>
    <w:rsid w:val="684626D0"/>
    <w:rsid w:val="6852376A"/>
    <w:rsid w:val="685748DD"/>
    <w:rsid w:val="686040F4"/>
    <w:rsid w:val="68762A42"/>
    <w:rsid w:val="689F0032"/>
    <w:rsid w:val="68AF4719"/>
    <w:rsid w:val="68B43C3E"/>
    <w:rsid w:val="68F0088D"/>
    <w:rsid w:val="69126A56"/>
    <w:rsid w:val="691722BE"/>
    <w:rsid w:val="691D70A1"/>
    <w:rsid w:val="693370F8"/>
    <w:rsid w:val="697D0373"/>
    <w:rsid w:val="697F058F"/>
    <w:rsid w:val="69845014"/>
    <w:rsid w:val="698C2CAC"/>
    <w:rsid w:val="69951B60"/>
    <w:rsid w:val="69A17E26"/>
    <w:rsid w:val="69C51D1A"/>
    <w:rsid w:val="69C77840"/>
    <w:rsid w:val="69CB37D4"/>
    <w:rsid w:val="69FA28FE"/>
    <w:rsid w:val="69FD3262"/>
    <w:rsid w:val="6A0C6220"/>
    <w:rsid w:val="6A57631E"/>
    <w:rsid w:val="6A5D01A4"/>
    <w:rsid w:val="6A6E23B2"/>
    <w:rsid w:val="6A732368"/>
    <w:rsid w:val="6A7F7BD2"/>
    <w:rsid w:val="6A9D5BAE"/>
    <w:rsid w:val="6AA57343"/>
    <w:rsid w:val="6AAB7162"/>
    <w:rsid w:val="6AAE0ADC"/>
    <w:rsid w:val="6AB12406"/>
    <w:rsid w:val="6AB57FE0"/>
    <w:rsid w:val="6ACA6984"/>
    <w:rsid w:val="6B07083C"/>
    <w:rsid w:val="6B166CD1"/>
    <w:rsid w:val="6B195337"/>
    <w:rsid w:val="6B2F0215"/>
    <w:rsid w:val="6B394D25"/>
    <w:rsid w:val="6B403D4E"/>
    <w:rsid w:val="6B6C069F"/>
    <w:rsid w:val="6B9D29F0"/>
    <w:rsid w:val="6B9F313A"/>
    <w:rsid w:val="6BBF2EC5"/>
    <w:rsid w:val="6BC04E8F"/>
    <w:rsid w:val="6C03333C"/>
    <w:rsid w:val="6C043ADD"/>
    <w:rsid w:val="6C127448"/>
    <w:rsid w:val="6C340FCC"/>
    <w:rsid w:val="6C612090"/>
    <w:rsid w:val="6C8E2897"/>
    <w:rsid w:val="6C8F62A7"/>
    <w:rsid w:val="6CAD4815"/>
    <w:rsid w:val="6CC528DD"/>
    <w:rsid w:val="6CD7423E"/>
    <w:rsid w:val="6CF518B7"/>
    <w:rsid w:val="6CF748E0"/>
    <w:rsid w:val="6D1E00BF"/>
    <w:rsid w:val="6D2546B0"/>
    <w:rsid w:val="6D521B17"/>
    <w:rsid w:val="6D806684"/>
    <w:rsid w:val="6DB9718A"/>
    <w:rsid w:val="6DBB35DE"/>
    <w:rsid w:val="6DCF4F15"/>
    <w:rsid w:val="6DE54739"/>
    <w:rsid w:val="6DEE183F"/>
    <w:rsid w:val="6E3A4A84"/>
    <w:rsid w:val="6E3D1FD3"/>
    <w:rsid w:val="6E3F209B"/>
    <w:rsid w:val="6E511DCE"/>
    <w:rsid w:val="6E5868B6"/>
    <w:rsid w:val="6E761835"/>
    <w:rsid w:val="6E7D2BC3"/>
    <w:rsid w:val="6E804461"/>
    <w:rsid w:val="6E851A78"/>
    <w:rsid w:val="6E8547AD"/>
    <w:rsid w:val="6E865F1C"/>
    <w:rsid w:val="6EC3650B"/>
    <w:rsid w:val="6ECB3259"/>
    <w:rsid w:val="6EE968E4"/>
    <w:rsid w:val="6EF637FB"/>
    <w:rsid w:val="6EF70BC7"/>
    <w:rsid w:val="6F03756C"/>
    <w:rsid w:val="6F0E7CBF"/>
    <w:rsid w:val="6F364493"/>
    <w:rsid w:val="6F3E6C10"/>
    <w:rsid w:val="6F4436E1"/>
    <w:rsid w:val="6F484F7F"/>
    <w:rsid w:val="6F491377"/>
    <w:rsid w:val="6F742F72"/>
    <w:rsid w:val="6F775864"/>
    <w:rsid w:val="6F7A7850"/>
    <w:rsid w:val="6F855BB3"/>
    <w:rsid w:val="6F8B1310"/>
    <w:rsid w:val="6F8D5088"/>
    <w:rsid w:val="6F94351F"/>
    <w:rsid w:val="6FB2689C"/>
    <w:rsid w:val="6FC83DE4"/>
    <w:rsid w:val="6FDD7DBD"/>
    <w:rsid w:val="6FF944CB"/>
    <w:rsid w:val="6FFE7D34"/>
    <w:rsid w:val="70294DB1"/>
    <w:rsid w:val="70626FA0"/>
    <w:rsid w:val="70756EB2"/>
    <w:rsid w:val="707B75D6"/>
    <w:rsid w:val="709025CB"/>
    <w:rsid w:val="70A049F5"/>
    <w:rsid w:val="70C96594"/>
    <w:rsid w:val="70CB64F3"/>
    <w:rsid w:val="70ED2282"/>
    <w:rsid w:val="70F14EBA"/>
    <w:rsid w:val="70FB2437"/>
    <w:rsid w:val="710D46D2"/>
    <w:rsid w:val="71193077"/>
    <w:rsid w:val="711F61B4"/>
    <w:rsid w:val="71324139"/>
    <w:rsid w:val="713954C7"/>
    <w:rsid w:val="715C11B6"/>
    <w:rsid w:val="71662034"/>
    <w:rsid w:val="71677B27"/>
    <w:rsid w:val="71A1274A"/>
    <w:rsid w:val="71A40397"/>
    <w:rsid w:val="71AF12E6"/>
    <w:rsid w:val="71B72890"/>
    <w:rsid w:val="71C045E6"/>
    <w:rsid w:val="71C34D91"/>
    <w:rsid w:val="71EF202A"/>
    <w:rsid w:val="71FD0260"/>
    <w:rsid w:val="72023B0B"/>
    <w:rsid w:val="722B5732"/>
    <w:rsid w:val="723637B5"/>
    <w:rsid w:val="723A2411"/>
    <w:rsid w:val="727662A7"/>
    <w:rsid w:val="727B384F"/>
    <w:rsid w:val="729130E1"/>
    <w:rsid w:val="72A93F87"/>
    <w:rsid w:val="72BB50B5"/>
    <w:rsid w:val="731F06ED"/>
    <w:rsid w:val="732C6966"/>
    <w:rsid w:val="733A1083"/>
    <w:rsid w:val="733D60BC"/>
    <w:rsid w:val="73404D38"/>
    <w:rsid w:val="73510A6B"/>
    <w:rsid w:val="7354438F"/>
    <w:rsid w:val="73784234"/>
    <w:rsid w:val="73797DFD"/>
    <w:rsid w:val="737F734B"/>
    <w:rsid w:val="738F6DBD"/>
    <w:rsid w:val="73B97813"/>
    <w:rsid w:val="73C118FE"/>
    <w:rsid w:val="73EA4857"/>
    <w:rsid w:val="73EF6311"/>
    <w:rsid w:val="74161CD7"/>
    <w:rsid w:val="74542618"/>
    <w:rsid w:val="74686B51"/>
    <w:rsid w:val="74A80B91"/>
    <w:rsid w:val="74B22D2F"/>
    <w:rsid w:val="74B86703"/>
    <w:rsid w:val="74C42FBC"/>
    <w:rsid w:val="74CE4179"/>
    <w:rsid w:val="74F34823"/>
    <w:rsid w:val="75505F4F"/>
    <w:rsid w:val="755E374E"/>
    <w:rsid w:val="75742F72"/>
    <w:rsid w:val="758700E4"/>
    <w:rsid w:val="75907680"/>
    <w:rsid w:val="75912081"/>
    <w:rsid w:val="75D51537"/>
    <w:rsid w:val="75DE512F"/>
    <w:rsid w:val="75EF7FE9"/>
    <w:rsid w:val="75F23E97"/>
    <w:rsid w:val="760B1392"/>
    <w:rsid w:val="76326989"/>
    <w:rsid w:val="763C3E44"/>
    <w:rsid w:val="76402E54"/>
    <w:rsid w:val="766B2334"/>
    <w:rsid w:val="76766876"/>
    <w:rsid w:val="76944F4E"/>
    <w:rsid w:val="76AC04E9"/>
    <w:rsid w:val="76E9529A"/>
    <w:rsid w:val="76F459ED"/>
    <w:rsid w:val="77400C32"/>
    <w:rsid w:val="774921DC"/>
    <w:rsid w:val="776E579F"/>
    <w:rsid w:val="777C7EBC"/>
    <w:rsid w:val="778D06BF"/>
    <w:rsid w:val="77E141C3"/>
    <w:rsid w:val="77EB52B0"/>
    <w:rsid w:val="77F86E52"/>
    <w:rsid w:val="78033A89"/>
    <w:rsid w:val="78144598"/>
    <w:rsid w:val="782F5BA4"/>
    <w:rsid w:val="78322C70"/>
    <w:rsid w:val="7846221B"/>
    <w:rsid w:val="785030F6"/>
    <w:rsid w:val="78915BE9"/>
    <w:rsid w:val="78970D25"/>
    <w:rsid w:val="78AA6CAB"/>
    <w:rsid w:val="79202AC9"/>
    <w:rsid w:val="79376287"/>
    <w:rsid w:val="794550F8"/>
    <w:rsid w:val="794712E5"/>
    <w:rsid w:val="79524E83"/>
    <w:rsid w:val="7961308D"/>
    <w:rsid w:val="796706F8"/>
    <w:rsid w:val="797C0327"/>
    <w:rsid w:val="79910BB1"/>
    <w:rsid w:val="7993773F"/>
    <w:rsid w:val="79A436FA"/>
    <w:rsid w:val="79AE6327"/>
    <w:rsid w:val="79B3393D"/>
    <w:rsid w:val="79D879AB"/>
    <w:rsid w:val="7A0D0392"/>
    <w:rsid w:val="7A37456E"/>
    <w:rsid w:val="7A3B22B0"/>
    <w:rsid w:val="7A44638C"/>
    <w:rsid w:val="7A446E9C"/>
    <w:rsid w:val="7A5B64AE"/>
    <w:rsid w:val="7A603AC5"/>
    <w:rsid w:val="7A666369"/>
    <w:rsid w:val="7A6C13BA"/>
    <w:rsid w:val="7A7D71FF"/>
    <w:rsid w:val="7ADC6EC3"/>
    <w:rsid w:val="7AE53FCA"/>
    <w:rsid w:val="7AE55D78"/>
    <w:rsid w:val="7B034450"/>
    <w:rsid w:val="7B1448AF"/>
    <w:rsid w:val="7B362C22"/>
    <w:rsid w:val="7B4E6013"/>
    <w:rsid w:val="7B6C0247"/>
    <w:rsid w:val="7B7F6AF1"/>
    <w:rsid w:val="7B8208B4"/>
    <w:rsid w:val="7B8701CB"/>
    <w:rsid w:val="7B8A691F"/>
    <w:rsid w:val="7B963516"/>
    <w:rsid w:val="7BC97448"/>
    <w:rsid w:val="7BDE61A2"/>
    <w:rsid w:val="7C0E57A2"/>
    <w:rsid w:val="7C41599C"/>
    <w:rsid w:val="7C635AEE"/>
    <w:rsid w:val="7C966584"/>
    <w:rsid w:val="7C9A7D78"/>
    <w:rsid w:val="7CA73C2D"/>
    <w:rsid w:val="7CBC0D5A"/>
    <w:rsid w:val="7CD12A58"/>
    <w:rsid w:val="7CE65DD7"/>
    <w:rsid w:val="7D394082"/>
    <w:rsid w:val="7D3A787F"/>
    <w:rsid w:val="7D5B4B4F"/>
    <w:rsid w:val="7D715FE9"/>
    <w:rsid w:val="7D741635"/>
    <w:rsid w:val="7DAC768C"/>
    <w:rsid w:val="7DB55ED6"/>
    <w:rsid w:val="7DBD4D8A"/>
    <w:rsid w:val="7DC071D6"/>
    <w:rsid w:val="7DDC1195"/>
    <w:rsid w:val="7DF54524"/>
    <w:rsid w:val="7E1C1A8D"/>
    <w:rsid w:val="7E1E2589"/>
    <w:rsid w:val="7E327526"/>
    <w:rsid w:val="7E355268"/>
    <w:rsid w:val="7E394D59"/>
    <w:rsid w:val="7E54763A"/>
    <w:rsid w:val="7E644CB6"/>
    <w:rsid w:val="7E6D0F20"/>
    <w:rsid w:val="7E7A2D09"/>
    <w:rsid w:val="7E7F64E4"/>
    <w:rsid w:val="7E9B246E"/>
    <w:rsid w:val="7EC7596E"/>
    <w:rsid w:val="7EDC7492"/>
    <w:rsid w:val="7F0A2251"/>
    <w:rsid w:val="7F121106"/>
    <w:rsid w:val="7F17496E"/>
    <w:rsid w:val="7F2552DD"/>
    <w:rsid w:val="7F354A2F"/>
    <w:rsid w:val="7F460DAF"/>
    <w:rsid w:val="7F5C7ECC"/>
    <w:rsid w:val="7F626411"/>
    <w:rsid w:val="7F672439"/>
    <w:rsid w:val="7F6A6FCE"/>
    <w:rsid w:val="7F715809"/>
    <w:rsid w:val="7F830B0A"/>
    <w:rsid w:val="7F8518D8"/>
    <w:rsid w:val="7F9A3079"/>
    <w:rsid w:val="7FA963B7"/>
    <w:rsid w:val="7FBB5720"/>
    <w:rsid w:val="7FC228B4"/>
    <w:rsid w:val="7FDF723A"/>
    <w:rsid w:val="7FE505C8"/>
    <w:rsid w:val="7FE64A6C"/>
    <w:rsid w:val="7FFA0D9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link w:val="27"/>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autoRedefine/>
    <w:qFormat/>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29"/>
    <w:qFormat/>
    <w:uiPriority w:val="99"/>
    <w:pPr>
      <w:keepNext/>
      <w:keepLines/>
      <w:spacing w:before="260" w:after="260" w:line="416" w:lineRule="auto"/>
      <w:outlineLvl w:val="2"/>
    </w:pPr>
    <w:rPr>
      <w:b/>
      <w:bCs/>
      <w:sz w:val="32"/>
      <w:szCs w:val="32"/>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5">
    <w:name w:val="Document Map"/>
    <w:basedOn w:val="1"/>
    <w:autoRedefine/>
    <w:semiHidden/>
    <w:qFormat/>
    <w:uiPriority w:val="0"/>
    <w:pPr>
      <w:shd w:val="clear" w:color="auto" w:fill="000080"/>
    </w:pPr>
  </w:style>
  <w:style w:type="paragraph" w:styleId="6">
    <w:name w:val="annotation text"/>
    <w:basedOn w:val="1"/>
    <w:link w:val="30"/>
    <w:autoRedefine/>
    <w:qFormat/>
    <w:uiPriority w:val="99"/>
    <w:pPr>
      <w:jc w:val="left"/>
    </w:pPr>
    <w:rPr>
      <w:sz w:val="24"/>
    </w:rPr>
  </w:style>
  <w:style w:type="paragraph" w:styleId="7">
    <w:name w:val="Body Text Indent"/>
    <w:basedOn w:val="1"/>
    <w:link w:val="31"/>
    <w:autoRedefine/>
    <w:unhideWhenUsed/>
    <w:qFormat/>
    <w:uiPriority w:val="0"/>
    <w:pPr>
      <w:topLinePunct/>
      <w:ind w:firstLine="560" w:firstLineChars="200"/>
    </w:pPr>
    <w:rPr>
      <w:rFonts w:eastAsia="仿宋_GB2312"/>
      <w:sz w:val="28"/>
      <w:szCs w:val="20"/>
    </w:rPr>
  </w:style>
  <w:style w:type="paragraph" w:styleId="8">
    <w:name w:val="Plain Text"/>
    <w:basedOn w:val="1"/>
    <w:link w:val="32"/>
    <w:autoRedefine/>
    <w:qFormat/>
    <w:uiPriority w:val="99"/>
    <w:rPr>
      <w:rFonts w:ascii="宋体" w:hAnsi="Courier New"/>
      <w:szCs w:val="21"/>
    </w:rPr>
  </w:style>
  <w:style w:type="paragraph" w:styleId="9">
    <w:name w:val="Body Text Indent 2"/>
    <w:basedOn w:val="1"/>
    <w:link w:val="33"/>
    <w:autoRedefine/>
    <w:unhideWhenUsed/>
    <w:qFormat/>
    <w:uiPriority w:val="99"/>
    <w:pPr>
      <w:widowControl/>
      <w:topLinePunct/>
      <w:spacing w:after="120" w:line="480" w:lineRule="auto"/>
      <w:ind w:left="420" w:leftChars="200"/>
      <w:jc w:val="left"/>
    </w:pPr>
    <w:rPr>
      <w:kern w:val="0"/>
    </w:rPr>
  </w:style>
  <w:style w:type="paragraph" w:styleId="10">
    <w:name w:val="Balloon Text"/>
    <w:basedOn w:val="1"/>
    <w:link w:val="34"/>
    <w:autoRedefine/>
    <w:qFormat/>
    <w:uiPriority w:val="99"/>
    <w:rPr>
      <w:sz w:val="18"/>
      <w:szCs w:val="18"/>
    </w:rPr>
  </w:style>
  <w:style w:type="paragraph" w:styleId="11">
    <w:name w:val="footer"/>
    <w:basedOn w:val="1"/>
    <w:link w:val="35"/>
    <w:autoRedefine/>
    <w:qFormat/>
    <w:uiPriority w:val="99"/>
    <w:pPr>
      <w:tabs>
        <w:tab w:val="center" w:pos="4153"/>
        <w:tab w:val="right" w:pos="8306"/>
      </w:tabs>
      <w:snapToGrid w:val="0"/>
      <w:jc w:val="left"/>
    </w:pPr>
    <w:rPr>
      <w:sz w:val="18"/>
      <w:szCs w:val="18"/>
    </w:rPr>
  </w:style>
  <w:style w:type="paragraph" w:styleId="12">
    <w:name w:val="header"/>
    <w:basedOn w:val="1"/>
    <w:link w:val="36"/>
    <w:autoRedefine/>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39"/>
  </w:style>
  <w:style w:type="paragraph" w:styleId="14">
    <w:name w:val="footnote text"/>
    <w:basedOn w:val="1"/>
    <w:link w:val="37"/>
    <w:autoRedefine/>
    <w:unhideWhenUsed/>
    <w:qFormat/>
    <w:uiPriority w:val="99"/>
    <w:pPr>
      <w:widowControl/>
      <w:jc w:val="left"/>
    </w:pPr>
    <w:rPr>
      <w:rFonts w:ascii="Calibri" w:hAnsi="Calibri"/>
      <w:kern w:val="0"/>
      <w:sz w:val="20"/>
      <w:szCs w:val="20"/>
    </w:rPr>
  </w:style>
  <w:style w:type="paragraph" w:styleId="15">
    <w:name w:val="Body Text Indent 3"/>
    <w:basedOn w:val="1"/>
    <w:link w:val="38"/>
    <w:autoRedefine/>
    <w:unhideWhenUsed/>
    <w:qFormat/>
    <w:uiPriority w:val="99"/>
    <w:pPr>
      <w:widowControl/>
      <w:topLinePunct/>
      <w:spacing w:after="120"/>
      <w:ind w:left="420" w:leftChars="200"/>
      <w:jc w:val="left"/>
    </w:pPr>
    <w:rPr>
      <w:kern w:val="0"/>
      <w:sz w:val="16"/>
      <w:szCs w:val="16"/>
    </w:rPr>
  </w:style>
  <w:style w:type="paragraph" w:styleId="16">
    <w:name w:val="toc 2"/>
    <w:basedOn w:val="1"/>
    <w:next w:val="1"/>
    <w:autoRedefine/>
    <w:qFormat/>
    <w:uiPriority w:val="39"/>
    <w:pPr>
      <w:ind w:left="420" w:leftChars="200"/>
    </w:pPr>
  </w:style>
  <w:style w:type="paragraph" w:styleId="17">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8">
    <w:name w:val="Title"/>
    <w:basedOn w:val="1"/>
    <w:next w:val="1"/>
    <w:link w:val="39"/>
    <w:autoRedefine/>
    <w:qFormat/>
    <w:uiPriority w:val="0"/>
    <w:pPr>
      <w:spacing w:before="240" w:after="60"/>
      <w:jc w:val="center"/>
      <w:outlineLvl w:val="0"/>
    </w:pPr>
    <w:rPr>
      <w:rFonts w:ascii="等线 Light" w:hAnsi="等线 Light" w:cs="Times New Roman"/>
      <w:b/>
      <w:bCs/>
      <w:sz w:val="32"/>
      <w:szCs w:val="32"/>
    </w:rPr>
  </w:style>
  <w:style w:type="paragraph" w:styleId="19">
    <w:name w:val="annotation subject"/>
    <w:basedOn w:val="6"/>
    <w:next w:val="6"/>
    <w:link w:val="40"/>
    <w:autoRedefine/>
    <w:qFormat/>
    <w:uiPriority w:val="99"/>
    <w:rPr>
      <w:b/>
      <w:bCs/>
      <w:sz w:val="21"/>
      <w:szCs w:val="21"/>
    </w:r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autoRedefine/>
    <w:qFormat/>
    <w:uiPriority w:val="99"/>
  </w:style>
  <w:style w:type="character" w:styleId="24">
    <w:name w:val="Emphasis"/>
    <w:autoRedefine/>
    <w:qFormat/>
    <w:uiPriority w:val="20"/>
    <w:rPr>
      <w:color w:val="CC0000"/>
    </w:rPr>
  </w:style>
  <w:style w:type="character" w:styleId="25">
    <w:name w:val="Hyperlink"/>
    <w:autoRedefine/>
    <w:unhideWhenUsed/>
    <w:qFormat/>
    <w:uiPriority w:val="99"/>
    <w:rPr>
      <w:color w:val="0000FF"/>
      <w:u w:val="single"/>
    </w:rPr>
  </w:style>
  <w:style w:type="character" w:styleId="26">
    <w:name w:val="annotation reference"/>
    <w:autoRedefine/>
    <w:qFormat/>
    <w:uiPriority w:val="99"/>
    <w:rPr>
      <w:rFonts w:cs="Times New Roman"/>
      <w:sz w:val="21"/>
      <w:szCs w:val="21"/>
    </w:rPr>
  </w:style>
  <w:style w:type="character" w:customStyle="1" w:styleId="27">
    <w:name w:val="标题 1 字符"/>
    <w:link w:val="2"/>
    <w:autoRedefine/>
    <w:qFormat/>
    <w:uiPriority w:val="0"/>
    <w:rPr>
      <w:b/>
      <w:bCs/>
      <w:kern w:val="44"/>
      <w:sz w:val="44"/>
      <w:szCs w:val="44"/>
    </w:rPr>
  </w:style>
  <w:style w:type="character" w:customStyle="1" w:styleId="28">
    <w:name w:val="标题 2 字符"/>
    <w:link w:val="3"/>
    <w:autoRedefine/>
    <w:semiHidden/>
    <w:qFormat/>
    <w:uiPriority w:val="0"/>
    <w:rPr>
      <w:rFonts w:ascii="等线 Light" w:hAnsi="等线 Light" w:eastAsia="等线 Light" w:cs="Times New Roman"/>
      <w:b/>
      <w:bCs/>
      <w:kern w:val="2"/>
      <w:sz w:val="32"/>
      <w:szCs w:val="32"/>
    </w:rPr>
  </w:style>
  <w:style w:type="character" w:customStyle="1" w:styleId="29">
    <w:name w:val="标题 3 字符"/>
    <w:link w:val="4"/>
    <w:autoRedefine/>
    <w:qFormat/>
    <w:uiPriority w:val="99"/>
    <w:rPr>
      <w:b/>
      <w:bCs/>
      <w:kern w:val="2"/>
      <w:sz w:val="32"/>
      <w:szCs w:val="32"/>
    </w:rPr>
  </w:style>
  <w:style w:type="character" w:customStyle="1" w:styleId="30">
    <w:name w:val="批注文字 字符"/>
    <w:link w:val="6"/>
    <w:autoRedefine/>
    <w:qFormat/>
    <w:uiPriority w:val="99"/>
    <w:rPr>
      <w:kern w:val="2"/>
      <w:sz w:val="24"/>
      <w:szCs w:val="24"/>
    </w:rPr>
  </w:style>
  <w:style w:type="character" w:customStyle="1" w:styleId="31">
    <w:name w:val="正文文本缩进 字符"/>
    <w:link w:val="7"/>
    <w:autoRedefine/>
    <w:qFormat/>
    <w:uiPriority w:val="0"/>
    <w:rPr>
      <w:rFonts w:eastAsia="仿宋_GB2312"/>
      <w:kern w:val="2"/>
      <w:sz w:val="28"/>
    </w:rPr>
  </w:style>
  <w:style w:type="character" w:customStyle="1" w:styleId="32">
    <w:name w:val="纯文本 字符"/>
    <w:link w:val="8"/>
    <w:autoRedefine/>
    <w:qFormat/>
    <w:uiPriority w:val="99"/>
    <w:rPr>
      <w:rFonts w:ascii="宋体" w:hAnsi="Courier New" w:cs="宋体"/>
      <w:kern w:val="2"/>
      <w:sz w:val="21"/>
      <w:szCs w:val="21"/>
    </w:rPr>
  </w:style>
  <w:style w:type="character" w:customStyle="1" w:styleId="33">
    <w:name w:val="正文文本缩进 2 字符"/>
    <w:link w:val="9"/>
    <w:autoRedefine/>
    <w:qFormat/>
    <w:uiPriority w:val="99"/>
    <w:rPr>
      <w:sz w:val="21"/>
      <w:szCs w:val="24"/>
    </w:rPr>
  </w:style>
  <w:style w:type="character" w:customStyle="1" w:styleId="34">
    <w:name w:val="批注框文本 字符"/>
    <w:link w:val="10"/>
    <w:autoRedefine/>
    <w:qFormat/>
    <w:uiPriority w:val="99"/>
    <w:rPr>
      <w:kern w:val="2"/>
      <w:sz w:val="18"/>
      <w:szCs w:val="18"/>
    </w:rPr>
  </w:style>
  <w:style w:type="character" w:customStyle="1" w:styleId="35">
    <w:name w:val="页脚 字符"/>
    <w:link w:val="11"/>
    <w:autoRedefine/>
    <w:qFormat/>
    <w:uiPriority w:val="99"/>
    <w:rPr>
      <w:kern w:val="2"/>
      <w:sz w:val="18"/>
      <w:szCs w:val="18"/>
    </w:rPr>
  </w:style>
  <w:style w:type="character" w:customStyle="1" w:styleId="36">
    <w:name w:val="页眉 字符"/>
    <w:link w:val="12"/>
    <w:autoRedefine/>
    <w:qFormat/>
    <w:locked/>
    <w:uiPriority w:val="99"/>
    <w:rPr>
      <w:kern w:val="2"/>
      <w:sz w:val="18"/>
      <w:szCs w:val="18"/>
    </w:rPr>
  </w:style>
  <w:style w:type="character" w:customStyle="1" w:styleId="37">
    <w:name w:val="脚注文本 字符"/>
    <w:link w:val="14"/>
    <w:autoRedefine/>
    <w:qFormat/>
    <w:uiPriority w:val="99"/>
    <w:rPr>
      <w:rFonts w:ascii="Calibri" w:hAnsi="Calibri"/>
    </w:rPr>
  </w:style>
  <w:style w:type="character" w:customStyle="1" w:styleId="38">
    <w:name w:val="正文文本缩进 3 字符"/>
    <w:link w:val="15"/>
    <w:autoRedefine/>
    <w:qFormat/>
    <w:uiPriority w:val="99"/>
    <w:rPr>
      <w:sz w:val="16"/>
      <w:szCs w:val="16"/>
    </w:rPr>
  </w:style>
  <w:style w:type="character" w:customStyle="1" w:styleId="39">
    <w:name w:val="标题 字符"/>
    <w:link w:val="18"/>
    <w:autoRedefine/>
    <w:qFormat/>
    <w:uiPriority w:val="0"/>
    <w:rPr>
      <w:rFonts w:ascii="等线 Light" w:hAnsi="等线 Light" w:cs="Times New Roman"/>
      <w:b/>
      <w:bCs/>
      <w:kern w:val="2"/>
      <w:sz w:val="32"/>
      <w:szCs w:val="32"/>
    </w:rPr>
  </w:style>
  <w:style w:type="character" w:customStyle="1" w:styleId="40">
    <w:name w:val="批注主题 字符"/>
    <w:link w:val="19"/>
    <w:autoRedefine/>
    <w:qFormat/>
    <w:uiPriority w:val="99"/>
    <w:rPr>
      <w:b/>
      <w:bCs/>
      <w:kern w:val="2"/>
      <w:sz w:val="21"/>
      <w:szCs w:val="21"/>
    </w:rPr>
  </w:style>
  <w:style w:type="paragraph" w:customStyle="1" w:styleId="41">
    <w:name w:val="Default"/>
    <w:autoRedefine/>
    <w:qFormat/>
    <w:uiPriority w:val="0"/>
    <w:pPr>
      <w:widowControl w:val="0"/>
      <w:autoSpaceDE w:val="0"/>
      <w:autoSpaceDN w:val="0"/>
      <w:adjustRightInd w:val="0"/>
    </w:pPr>
    <w:rPr>
      <w:rFonts w:ascii="华文仿宋" w:hAnsi="Calibri" w:eastAsia="华文仿宋" w:cs="华文仿宋"/>
      <w:color w:val="000000"/>
      <w:sz w:val="24"/>
      <w:szCs w:val="24"/>
      <w:lang w:val="en-US" w:eastAsia="zh-CN" w:bidi="ar-SA"/>
    </w:rPr>
  </w:style>
  <w:style w:type="paragraph" w:styleId="42">
    <w:name w:val="List Paragraph"/>
    <w:basedOn w:val="1"/>
    <w:autoRedefine/>
    <w:qFormat/>
    <w:uiPriority w:val="34"/>
    <w:pPr>
      <w:ind w:firstLine="420" w:firstLineChars="200"/>
    </w:pPr>
    <w:rPr>
      <w:rFonts w:ascii="Calibri" w:hAnsi="Calibri" w:cs="Calibri"/>
      <w:szCs w:val="21"/>
    </w:rPr>
  </w:style>
  <w:style w:type="paragraph" w:customStyle="1" w:styleId="43">
    <w:name w:val="样式 (中文) 仿宋_GB2312 四号 黑色 首行缩进:  0.99 厘米 行距: 固定值 22 磅"/>
    <w:basedOn w:val="1"/>
    <w:autoRedefine/>
    <w:qFormat/>
    <w:uiPriority w:val="99"/>
    <w:pPr>
      <w:spacing w:line="440" w:lineRule="exact"/>
      <w:ind w:firstLine="200" w:firstLineChars="200"/>
    </w:pPr>
    <w:rPr>
      <w:rFonts w:eastAsia="仿宋_GB2312"/>
      <w:color w:val="000000"/>
      <w:kern w:val="0"/>
      <w:sz w:val="28"/>
      <w:szCs w:val="28"/>
    </w:rPr>
  </w:style>
  <w:style w:type="paragraph" w:customStyle="1" w:styleId="44">
    <w:name w:val="样式 (中文) 仿宋_GB2312 四号 黑色 首行缩进:  0.85 厘米 行距: 固定值 22 磅"/>
    <w:basedOn w:val="1"/>
    <w:autoRedefine/>
    <w:qFormat/>
    <w:uiPriority w:val="99"/>
    <w:pPr>
      <w:spacing w:line="440" w:lineRule="exact"/>
      <w:ind w:firstLine="200" w:firstLineChars="200"/>
    </w:pPr>
    <w:rPr>
      <w:rFonts w:eastAsia="仿宋_GB2312"/>
      <w:color w:val="000000"/>
      <w:kern w:val="0"/>
      <w:sz w:val="28"/>
      <w:szCs w:val="28"/>
    </w:rPr>
  </w:style>
  <w:style w:type="paragraph" w:customStyle="1" w:styleId="45">
    <w:name w:val="样式 (中文) 仿宋_GB2312 四号 黑色 首行缩进:  0.99 厘米 行距: 固定值 22 磅1"/>
    <w:basedOn w:val="1"/>
    <w:autoRedefine/>
    <w:qFormat/>
    <w:uiPriority w:val="99"/>
    <w:pPr>
      <w:spacing w:line="440" w:lineRule="exact"/>
      <w:ind w:firstLine="200" w:firstLineChars="200"/>
    </w:pPr>
    <w:rPr>
      <w:rFonts w:eastAsia="仿宋_GB2312"/>
      <w:color w:val="000000"/>
      <w:kern w:val="0"/>
      <w:sz w:val="28"/>
      <w:szCs w:val="28"/>
    </w:rPr>
  </w:style>
  <w:style w:type="character" w:customStyle="1" w:styleId="46">
    <w:name w:val="样式 (中文) 仿宋_GB2312 三号 加粗 黑色"/>
    <w:autoRedefine/>
    <w:qFormat/>
    <w:uiPriority w:val="99"/>
    <w:rPr>
      <w:rFonts w:eastAsia="仿宋_GB2312" w:cs="Times New Roman"/>
      <w:b/>
      <w:bCs/>
      <w:color w:val="000000"/>
      <w:kern w:val="2"/>
      <w:sz w:val="32"/>
      <w:szCs w:val="32"/>
    </w:rPr>
  </w:style>
  <w:style w:type="paragraph" w:customStyle="1" w:styleId="47">
    <w:name w:val="样式 (中文) 仿宋_GB2312 三号 加粗 黑色 首行缩进:  0.85 厘米 行距: 固定值 22 磅"/>
    <w:basedOn w:val="1"/>
    <w:autoRedefine/>
    <w:qFormat/>
    <w:uiPriority w:val="99"/>
    <w:pPr>
      <w:spacing w:line="440" w:lineRule="exact"/>
      <w:ind w:firstLine="643" w:firstLineChars="200"/>
    </w:pPr>
    <w:rPr>
      <w:rFonts w:eastAsia="仿宋_GB2312"/>
      <w:b/>
      <w:bCs/>
      <w:color w:val="000000"/>
      <w:kern w:val="0"/>
      <w:sz w:val="32"/>
      <w:szCs w:val="32"/>
    </w:rPr>
  </w:style>
  <w:style w:type="paragraph" w:customStyle="1" w:styleId="48">
    <w:name w:val="段1"/>
    <w:basedOn w:val="1"/>
    <w:autoRedefine/>
    <w:qFormat/>
    <w:uiPriority w:val="99"/>
    <w:pPr>
      <w:spacing w:after="240" w:line="360" w:lineRule="auto"/>
      <w:ind w:firstLine="200" w:firstLineChars="200"/>
    </w:pPr>
    <w:rPr>
      <w:rFonts w:eastAsia="仿宋_GB2312"/>
      <w:sz w:val="24"/>
    </w:rPr>
  </w:style>
  <w:style w:type="paragraph" w:customStyle="1" w:styleId="49">
    <w:name w:val="p0"/>
    <w:autoRedefine/>
    <w:qFormat/>
    <w:uiPriority w:val="0"/>
    <w:pPr>
      <w:spacing w:line="400" w:lineRule="exact"/>
      <w:ind w:firstLine="200" w:firstLineChars="200"/>
      <w:jc w:val="both"/>
    </w:pPr>
    <w:rPr>
      <w:rFonts w:ascii="Times New Roman" w:hAnsi="Times New Roman" w:eastAsia="宋体" w:cs="Times New Roman"/>
      <w:lang w:val="en-US" w:eastAsia="zh-CN" w:bidi="ar-SA"/>
    </w:rPr>
  </w:style>
  <w:style w:type="paragraph" w:customStyle="1" w:styleId="50">
    <w:name w:val="Decimal Aligned"/>
    <w:basedOn w:val="1"/>
    <w:autoRedefine/>
    <w:qFormat/>
    <w:uiPriority w:val="40"/>
    <w:pPr>
      <w:widowControl/>
      <w:tabs>
        <w:tab w:val="decimal" w:pos="360"/>
      </w:tabs>
      <w:spacing w:after="200" w:line="276" w:lineRule="auto"/>
      <w:jc w:val="left"/>
    </w:pPr>
    <w:rPr>
      <w:rFonts w:ascii="Calibri" w:hAnsi="Calibri" w:eastAsia="Calibri" w:cs="Times New Roman"/>
      <w:kern w:val="0"/>
      <w:sz w:val="22"/>
      <w:szCs w:val="22"/>
    </w:rPr>
  </w:style>
  <w:style w:type="character" w:customStyle="1" w:styleId="51">
    <w:name w:val="_Style 50"/>
    <w:autoRedefine/>
    <w:qFormat/>
    <w:uiPriority w:val="19"/>
    <w:rPr>
      <w:i/>
      <w:iCs/>
      <w:color w:val="000000"/>
    </w:rPr>
  </w:style>
  <w:style w:type="table" w:customStyle="1" w:styleId="52">
    <w:name w:val="浅色底纹 - 强调文字颜色 11"/>
    <w:basedOn w:val="20"/>
    <w:autoRedefine/>
    <w:qFormat/>
    <w:uiPriority w:val="60"/>
    <w:rPr>
      <w:rFonts w:ascii="Calibri" w:hAnsi="Calibri" w:eastAsia="宋体" w:cs="Times New Roman"/>
      <w:color w:val="4F81BD"/>
      <w:sz w:val="22"/>
      <w:szCs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paragraph" w:customStyle="1" w:styleId="53">
    <w:name w:val="WPSOffice手动目录 1"/>
    <w:autoRedefine/>
    <w:qFormat/>
    <w:uiPriority w:val="0"/>
    <w:rPr>
      <w:rFonts w:ascii="Times New Roman" w:hAnsi="Times New Roman" w:eastAsia="宋体" w:cs="Times New Roman"/>
      <w:lang w:val="en-US" w:eastAsia="zh-CN" w:bidi="ar-SA"/>
    </w:rPr>
  </w:style>
  <w:style w:type="paragraph" w:customStyle="1" w:styleId="54">
    <w:name w:val="WPSOffice手动目录 2"/>
    <w:autoRedefine/>
    <w:qFormat/>
    <w:uiPriority w:val="0"/>
    <w:pPr>
      <w:ind w:leftChars="200"/>
    </w:pPr>
    <w:rPr>
      <w:rFonts w:ascii="Times New Roman" w:hAnsi="Times New Roman" w:eastAsia="宋体" w:cs="Times New Roman"/>
      <w:lang w:val="en-US" w:eastAsia="zh-CN" w:bidi="ar-SA"/>
    </w:rPr>
  </w:style>
  <w:style w:type="paragraph" w:customStyle="1" w:styleId="55">
    <w:name w:val="_Style 54"/>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56">
    <w:name w:val="未处理的提及"/>
    <w:autoRedefine/>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36</Pages>
  <Words>15330</Words>
  <Characters>16933</Characters>
  <Lines>132</Lines>
  <Paragraphs>37</Paragraphs>
  <TotalTime>0</TotalTime>
  <ScaleCrop>false</ScaleCrop>
  <LinksUpToDate>false</LinksUpToDate>
  <CharactersWithSpaces>17228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2022-12-12T02:46:00Z</dcterms:created>
  <dc:creator>Xtzj.User</dc:creator>
  <cp:lastModifiedBy>刘娜</cp:lastModifiedBy>
  <cp:lastPrinted>2022-11-30T01:36:00Z</cp:lastPrinted>
  <dcterms:modified xsi:type="dcterms:W3CDTF">2024-01-15T10:21:42Z</dcterms:modified>
  <dc:title>（局发文式样）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9B40CA3F86E841C1BF20C86CC85E2D25_13</vt:lpwstr>
  </property>
  <property fmtid="{D5CDD505-2E9C-101B-9397-08002B2CF9AE}" pid="4" name="GrammarlyDocumentId">
    <vt:lpwstr>a991c6ba0e811f74ad485c7c584370f9e097c8d84be9d46b31733c2ec395c695</vt:lpwstr>
  </property>
</Properties>
</file>