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80265D">
      <w:pPr>
        <w:jc w:val="center"/>
        <w:rPr>
          <w:rFonts w:asciiTheme="majorEastAsia" w:hAnsiTheme="majorEastAsia" w:eastAsiaTheme="majorEastAsia" w:cstheme="minorBidi"/>
          <w:b/>
          <w:sz w:val="36"/>
          <w:szCs w:val="36"/>
        </w:rPr>
      </w:pPr>
      <w:r>
        <w:rPr>
          <w:rFonts w:hint="eastAsia" w:asciiTheme="majorEastAsia" w:hAnsiTheme="majorEastAsia" w:eastAsiaTheme="majorEastAsia" w:cstheme="minorBidi"/>
          <w:b/>
          <w:sz w:val="36"/>
          <w:szCs w:val="36"/>
        </w:rPr>
        <w:t>新疆维吾尔自治区药品监督管理局</w:t>
      </w:r>
    </w:p>
    <w:p w14:paraId="3347FBCF">
      <w:pPr>
        <w:jc w:val="center"/>
        <w:rPr>
          <w:rFonts w:asciiTheme="minorHAnsi" w:hAnsiTheme="minorHAnsi" w:eastAsiaTheme="minorEastAsia" w:cstheme="minorBidi"/>
          <w:b/>
          <w:sz w:val="44"/>
          <w:szCs w:val="44"/>
        </w:rPr>
      </w:pPr>
      <w:r>
        <w:rPr>
          <w:rFonts w:hint="eastAsia" w:asciiTheme="minorHAnsi" w:hAnsiTheme="minorHAnsi" w:eastAsiaTheme="minorEastAsia" w:cstheme="minorBidi"/>
          <w:b/>
          <w:sz w:val="44"/>
          <w:szCs w:val="44"/>
        </w:rPr>
        <w:t>药材标准</w:t>
      </w:r>
    </w:p>
    <w:p w14:paraId="596EF04A">
      <w:pPr>
        <w:jc w:val="center"/>
        <w:rPr>
          <w:rFonts w:hint="eastAsia" w:asciiTheme="minorHAnsi" w:hAnsiTheme="minorHAnsi" w:eastAsiaTheme="minorEastAsia" w:cstheme="minorBidi"/>
          <w:sz w:val="32"/>
          <w:szCs w:val="32"/>
          <w:lang w:val="en-US" w:eastAsia="zh-CN"/>
        </w:rPr>
      </w:pPr>
      <w:r>
        <w:rPr>
          <w:rFonts w:hint="eastAsia" w:asciiTheme="minorHAnsi" w:hAnsiTheme="minorHAnsi" w:eastAsiaTheme="minorEastAsia" w:cstheme="minorBidi"/>
          <w:sz w:val="32"/>
          <w:szCs w:val="32"/>
        </w:rPr>
        <w:t xml:space="preserve">                                       202</w:t>
      </w:r>
      <w:r>
        <w:rPr>
          <w:rFonts w:hint="eastAsia" w:asciiTheme="minorHAnsi" w:hAnsiTheme="minorHAnsi" w:eastAsiaTheme="minorEastAsia" w:cstheme="minorBidi"/>
          <w:sz w:val="32"/>
          <w:szCs w:val="32"/>
          <w:lang w:val="en-US" w:eastAsia="zh-CN"/>
        </w:rPr>
        <w:t>5</w:t>
      </w:r>
      <w:r>
        <w:rPr>
          <w:rFonts w:hint="eastAsia" w:asciiTheme="minorHAnsi" w:hAnsiTheme="minorHAnsi" w:eastAsiaTheme="minorEastAsia" w:cstheme="minorBidi"/>
          <w:sz w:val="32"/>
          <w:szCs w:val="32"/>
        </w:rPr>
        <w:t>YC-000</w:t>
      </w:r>
      <w:r>
        <w:rPr>
          <w:rFonts w:hint="eastAsia" w:asciiTheme="minorHAnsi" w:hAnsiTheme="minorHAnsi" w:eastAsiaTheme="minorEastAsia" w:cstheme="minorBidi"/>
          <w:sz w:val="32"/>
          <w:szCs w:val="32"/>
          <w:lang w:val="en-US" w:eastAsia="zh-CN"/>
        </w:rPr>
        <w:t>8</w:t>
      </w:r>
      <w:bookmarkStart w:id="0" w:name="_GoBack"/>
      <w:bookmarkEnd w:id="0"/>
    </w:p>
    <w:p w14:paraId="591FF811">
      <w:pPr>
        <w:widowControl/>
        <w:spacing w:line="276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130810</wp:posOffset>
                </wp:positionV>
                <wp:extent cx="5339715" cy="889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39751" cy="8626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0.3pt;margin-top:10.3pt;height:0.7pt;width:420.45pt;z-index:251659264;mso-width-relative:page;mso-height-relative:page;" filled="f" stroked="t" coordsize="21600,21600" o:gfxdata="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AF4AZ3UAAAABgEAAA8AAAAAAAAAAQAgAAAAIgAA&#10;AGRycy9kb3ducmV2LnhtbFBLAQIUABQAAAAIAIdO4kCgKL75DAIAAAEEAAAOAAAAAAAAAAEAIAAA&#10;ACMBAABkcnMvZTJvRG9jLnhtbFBLBQYAAAAABgAGAFkBAACh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793475A8">
      <w:pPr>
        <w:jc w:val="center"/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药蜀葵根</w:t>
      </w:r>
    </w:p>
    <w:p w14:paraId="18555F64">
      <w:pPr>
        <w:spacing w:line="360" w:lineRule="auto"/>
        <w:jc w:val="center"/>
        <w:outlineLvl w:val="0"/>
        <w:rPr>
          <w:rFonts w:hint="default" w:ascii="Times New Roman" w:hAnsi="Times New Roman" w:eastAsia="宋体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8"/>
          <w:szCs w:val="28"/>
          <w:lang w:val="en-US" w:eastAsia="zh-CN"/>
        </w:rPr>
        <w:t>Yaoshukuigen</w:t>
      </w:r>
    </w:p>
    <w:p w14:paraId="22156250">
      <w:pPr>
        <w:spacing w:line="360" w:lineRule="auto"/>
        <w:jc w:val="center"/>
        <w:outlineLvl w:val="0"/>
        <w:rPr>
          <w:rFonts w:hint="default" w:ascii="Times New Roman" w:hAnsi="Times New Roman" w:eastAsia="宋体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  <w:lang w:val="en-US" w:eastAsia="zh-CN"/>
        </w:rPr>
        <w:drawing>
          <wp:inline distT="0" distB="0" distL="114300" distR="114300">
            <wp:extent cx="1998980" cy="316865"/>
            <wp:effectExtent l="0" t="0" r="1270" b="6985"/>
            <wp:docPr id="3" name="图片 3" descr="57987b2a0f5b1f43ec778fe468ba88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57987b2a0f5b1f43ec778fe468ba88b"/>
                    <pic:cNvPicPr>
                      <a:picLocks noChangeAspect="1"/>
                    </pic:cNvPicPr>
                  </pic:nvPicPr>
                  <pic:blipFill>
                    <a:blip r:embed="rId5"/>
                    <a:srcRect r="75607" b="-19608"/>
                    <a:stretch>
                      <a:fillRect/>
                    </a:stretch>
                  </pic:blipFill>
                  <pic:spPr>
                    <a:xfrm>
                      <a:off x="0" y="0"/>
                      <a:ext cx="1998980" cy="316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13741B">
      <w:pPr>
        <w:numPr>
          <w:ilvl w:val="0"/>
          <w:numId w:val="0"/>
        </w:numPr>
        <w:spacing w:line="360" w:lineRule="auto"/>
        <w:jc w:val="center"/>
        <w:outlineLvl w:val="1"/>
        <w:rPr>
          <w:rFonts w:hint="default" w:ascii="Times New Roman" w:hAnsi="Times New Roman" w:eastAsia="宋体" w:cs="Times New Roman"/>
          <w:b/>
          <w:bCs/>
          <w:sz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</w:rPr>
        <w:t>ALTHAEA</w:t>
      </w:r>
      <w:r>
        <w:rPr>
          <w:rFonts w:hint="default" w:ascii="Times New Roman" w:hAnsi="Times New Roman" w:eastAsia="宋体" w:cs="Times New Roman"/>
          <w:b/>
          <w:bCs/>
          <w:sz w:val="24"/>
          <w:lang w:val="en-US" w:eastAsia="zh-CN"/>
        </w:rPr>
        <w:t xml:space="preserve"> OFFICINALIS RADIX</w:t>
      </w:r>
    </w:p>
    <w:p w14:paraId="29E32AB0">
      <w:pPr>
        <w:spacing w:line="360" w:lineRule="auto"/>
        <w:jc w:val="center"/>
        <w:rPr>
          <w:rFonts w:hint="default" w:ascii="Times New Roman" w:hAnsi="Times New Roman" w:cs="Times New Roman"/>
          <w:b/>
          <w:bCs/>
          <w:sz w:val="24"/>
          <w:rtl w:val="0"/>
          <w:lang w:val="en-US" w:eastAsia="zh-CN"/>
        </w:rPr>
      </w:pPr>
    </w:p>
    <w:p w14:paraId="003110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1" w:firstLine="560" w:firstLineChars="200"/>
        <w:jc w:val="both"/>
        <w:textAlignment w:val="auto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本品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为锦葵科植物药蜀葵Althaea officinalis L.的根。秋季挖出，除去残茎及须根，洗净泥沙，晒干。</w:t>
      </w:r>
    </w:p>
    <w:p w14:paraId="1C3D4A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1" w:firstLine="560" w:firstLineChars="200"/>
        <w:jc w:val="both"/>
        <w:textAlignment w:val="auto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 xml:space="preserve">【性状】 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本品呈圆柱形，粗细不一，长15～40cm，表面棕黄色至棕褐色，具明显的纵皱纹、横长皮孔及支根痕，有的可见孔洞。根头部略膨大，可见茎残基。体轻，质硬，断面不整齐，皮部白色，木部淡黄色。气微，味微甜、微辛，有黏滑感。</w:t>
      </w:r>
    </w:p>
    <w:p w14:paraId="5D4309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1" w:firstLine="562" w:firstLineChars="200"/>
        <w:jc w:val="both"/>
        <w:textAlignment w:val="auto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【鉴别</w:t>
      </w:r>
      <w:r>
        <w:rPr>
          <w:rFonts w:hint="default" w:ascii="Times New Roman" w:hAnsi="Times New Roman" w:cs="Times New Roman"/>
          <w:sz w:val="28"/>
          <w:szCs w:val="28"/>
        </w:rPr>
        <w:t>】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（1）本品粉末灰白色。淀粉粒呈卵圆形、类圆形或长圆形，直径3～20μm。木栓细胞类方形或多角形，淡黄色。木纤维梭形，壁厚，直径4～20μm。草酸钙簇晶直径10～40μm。导管为网纹导管，直径6～60μm。</w:t>
      </w:r>
    </w:p>
    <w:p w14:paraId="361AF8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1"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zh-CN"/>
        </w:rPr>
      </w:pP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（2）取本品粉末1g，加80%甲醇50ml，加热回流1小时，放冷，滤过，滤液蒸干，残渣加水20ml使溶解，用乙醚振摇提取2次，每次10ml，弃去乙醚液，水液加盐酸5ml，加热回流1小时，取出，立即冷却，用乙醚振摇提取5次，每次10ml，合并乙醚液，用水10ml洗涤，弃去水液，乙醚液用适量无水硫酸钠滤过，乙醚液挥干，残渣加甲醇2ml使溶解，作为供试品溶液。另取药蜀葵根对照药材1g，同法制成对照药材溶液。照薄层色谱法（中国药典2025年版通则0502）试验，吸取上述两种溶液各3μl，分别点于同一硅胶G薄层板上，以环己烷-乙酸乙酯-甲酸（20:10:1.5）为展开剂，展开，取出，晾干，喷以3%三氯化铝乙醇溶液，置紫外灯（365nm）下检视，供试品色谱中，在与对照药材色谱相应的位置上，显相同颜色的荧光斑点。</w:t>
      </w:r>
    </w:p>
    <w:p w14:paraId="516BC8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</w:rPr>
        <w:t>【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检查</w:t>
      </w:r>
      <w:r>
        <w:rPr>
          <w:rFonts w:hint="default" w:ascii="Times New Roman" w:hAnsi="Times New Roman" w:cs="Times New Roman"/>
          <w:sz w:val="28"/>
          <w:szCs w:val="28"/>
        </w:rPr>
        <w:t>】</w:t>
      </w:r>
      <w:r>
        <w:rPr>
          <w:rFonts w:hint="default" w:ascii="Times New Roman" w:hAnsi="Times New Roman" w:eastAsia="宋体" w:cs="Times New Roman"/>
          <w:b/>
          <w:sz w:val="28"/>
          <w:szCs w:val="28"/>
        </w:rPr>
        <w:t>水分</w:t>
      </w:r>
      <w:r>
        <w:rPr>
          <w:rFonts w:hint="default" w:ascii="Times New Roman" w:hAnsi="Times New Roman" w:cs="Times New Roman" w:eastAsiaTheme="minorEastAsia"/>
          <w:b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sz w:val="28"/>
          <w:szCs w:val="28"/>
          <w:lang w:val="zh-CN" w:eastAsia="zh-CN"/>
        </w:rPr>
        <w:t>不得过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10.0</w:t>
      </w:r>
      <w:r>
        <w:rPr>
          <w:rFonts w:hint="default" w:ascii="Times New Roman" w:hAnsi="Times New Roman" w:eastAsia="宋体" w:cs="Times New Roman"/>
          <w:sz w:val="28"/>
          <w:szCs w:val="28"/>
          <w:lang w:val="zh-CN" w:eastAsia="zh-CN"/>
        </w:rPr>
        <w:t>%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（《中国药典》2025年版通则0832第二法）。</w:t>
      </w:r>
    </w:p>
    <w:p w14:paraId="5A0292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2" w:firstLineChars="200"/>
        <w:jc w:val="both"/>
        <w:textAlignment w:val="auto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sz w:val="28"/>
          <w:szCs w:val="28"/>
          <w:lang w:val="en-US" w:eastAsia="zh-CN"/>
        </w:rPr>
        <w:t xml:space="preserve">总灰分 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不得过11.0%（《中国药典》2025年版通则2302）。</w:t>
      </w:r>
    </w:p>
    <w:p w14:paraId="424DA0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2" w:firstLineChars="200"/>
        <w:jc w:val="both"/>
        <w:textAlignment w:val="auto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sz w:val="28"/>
          <w:szCs w:val="28"/>
          <w:lang w:val="en-US" w:eastAsia="zh-CN"/>
        </w:rPr>
        <w:t xml:space="preserve">酸不溶性灰分 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不得过2.0%（《中国药典》2025年版通则2302）。</w:t>
      </w:r>
    </w:p>
    <w:p w14:paraId="775F56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2" w:firstLineChars="200"/>
        <w:jc w:val="both"/>
        <w:textAlignment w:val="auto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【浸出物】</w:t>
      </w:r>
      <w:r>
        <w:rPr>
          <w:rFonts w:hint="default" w:ascii="Times New Roman" w:hAnsi="Times New Roman" w:cs="Times New Roman"/>
          <w:b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照醇溶性浸出物测定法（《中国药典》2025年版通则2201）项下的热浸法测定，用70%乙醇作溶剂，不得少于20.0%。</w:t>
      </w:r>
    </w:p>
    <w:p w14:paraId="2611EC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【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  <w:lang w:val="en-US" w:eastAsia="zh-CN"/>
        </w:rPr>
        <w:t>性</w:t>
      </w:r>
      <w:r>
        <w:rPr>
          <w:rFonts w:hint="eastAsia" w:eastAsia="宋体" w:cs="Times New Roman"/>
          <w:b/>
          <w:bCs/>
          <w:sz w:val="28"/>
          <w:szCs w:val="28"/>
          <w:lang w:val="en-US" w:eastAsia="zh-CN"/>
        </w:rPr>
        <w:t>质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】 二级干热；中热；甘，温。</w:t>
      </w:r>
    </w:p>
    <w:p w14:paraId="1A708F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1" w:firstLine="560" w:firstLineChars="200"/>
        <w:jc w:val="both"/>
        <w:textAlignment w:val="auto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【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  <w:lang w:val="en-US" w:eastAsia="zh-CN"/>
        </w:rPr>
        <w:t>功能与主治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】 解表散寒，消炎利水，止咳，缓泻；用于风寒感冒，咳音哑，大便干燥，小便短赤，膀胱结石，疮疖肿毒。清热凉血，利尿通淋，解毒排脓。用于血热妄行所致的吐血、衄血；热淋涩痛，小便不利；疮疡肿毒，咽喉肿痛，肺痈吐脓。</w:t>
      </w:r>
    </w:p>
    <w:p w14:paraId="7D0E7B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1" w:firstLine="560" w:firstLineChars="200"/>
        <w:jc w:val="both"/>
        <w:textAlignment w:val="auto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【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  <w:lang w:val="en-US" w:eastAsia="zh-CN"/>
        </w:rPr>
        <w:t>用法与用量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】 煎汤，6～15g；或入丸、散剂，每次3～5g。外用：适量。</w:t>
      </w:r>
    </w:p>
    <w:p w14:paraId="528A3D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1" w:firstLine="560" w:firstLineChars="200"/>
        <w:jc w:val="both"/>
        <w:textAlignment w:val="auto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【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  <w:lang w:val="en-US" w:eastAsia="zh-CN"/>
        </w:rPr>
        <w:t>贮藏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】 置于通风干燥处。</w:t>
      </w:r>
    </w:p>
    <w:p w14:paraId="72DBBA9E">
      <w:pPr>
        <w:spacing w:line="240" w:lineRule="auto"/>
        <w:rPr>
          <w:rFonts w:ascii="仿宋" w:hAnsi="仿宋" w:eastAsia="仿宋"/>
          <w:sz w:val="32"/>
          <w:szCs w:val="32"/>
        </w:rPr>
      </w:pPr>
    </w:p>
    <w:p w14:paraId="68DF4523">
      <w:pPr>
        <w:rPr>
          <w:rFonts w:ascii="仿宋" w:hAnsi="仿宋" w:eastAsia="仿宋"/>
          <w:sz w:val="32"/>
          <w:szCs w:val="32"/>
        </w:rPr>
      </w:pPr>
    </w:p>
    <w:p w14:paraId="4EFFE8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textAlignment w:val="auto"/>
      </w:pPr>
    </w:p>
    <w:sectPr>
      <w:footerReference r:id="rId3" w:type="default"/>
      <w:pgSz w:w="11906" w:h="16838"/>
      <w:pgMar w:top="1418" w:right="1474" w:bottom="1418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4C3481">
    <w:pPr>
      <w:pStyle w:val="6"/>
      <w:pBdr>
        <w:bottom w:val="single" w:color="auto" w:sz="4" w:space="0"/>
      </w:pBdr>
      <w:rPr>
        <w:rFonts w:hint="eastAsia"/>
        <w:sz w:val="21"/>
        <w:szCs w:val="21"/>
        <w:lang w:eastAsia="zh-CN"/>
      </w:rPr>
    </w:pPr>
  </w:p>
  <w:p w14:paraId="38985E68">
    <w:pPr>
      <w:pStyle w:val="6"/>
      <w:rPr>
        <w:sz w:val="21"/>
        <w:szCs w:val="21"/>
      </w:rPr>
    </w:pPr>
    <w:r>
      <w:rPr>
        <w:rFonts w:hint="eastAsia"/>
        <w:sz w:val="21"/>
        <w:szCs w:val="21"/>
        <w:lang w:eastAsia="zh-CN"/>
      </w:rPr>
      <w:t>新疆维吾尔自治区药品检验研究院</w:t>
    </w:r>
    <w:r>
      <w:rPr>
        <w:rFonts w:hint="eastAsia"/>
        <w:sz w:val="21"/>
        <w:szCs w:val="21"/>
        <w:lang w:val="en-US" w:eastAsia="zh-CN"/>
      </w:rPr>
      <w:t xml:space="preserve"> </w:t>
    </w:r>
    <w:r>
      <w:rPr>
        <w:rFonts w:hint="eastAsia"/>
        <w:sz w:val="21"/>
        <w:szCs w:val="21"/>
      </w:rPr>
      <w:t xml:space="preserve"> </w:t>
    </w:r>
    <w:r>
      <w:rPr>
        <w:rFonts w:hint="eastAsia"/>
        <w:sz w:val="21"/>
        <w:szCs w:val="21"/>
        <w:lang w:val="en-US" w:eastAsia="zh-CN"/>
      </w:rPr>
      <w:t xml:space="preserve">  </w:t>
    </w:r>
    <w:r>
      <w:rPr>
        <w:rFonts w:hint="eastAsia"/>
        <w:sz w:val="21"/>
        <w:szCs w:val="21"/>
      </w:rPr>
      <w:t>起草</w:t>
    </w:r>
  </w:p>
  <w:p w14:paraId="44B5B94C">
    <w:pPr>
      <w:pStyle w:val="6"/>
      <w:rPr>
        <w:sz w:val="21"/>
        <w:szCs w:val="21"/>
      </w:rPr>
    </w:pPr>
    <w:r>
      <w:rPr>
        <w:rFonts w:hint="eastAsia" w:cs="Times New Roman"/>
        <w:sz w:val="21"/>
        <w:szCs w:val="21"/>
        <w:lang w:eastAsia="zh-CN"/>
      </w:rPr>
      <w:t>安徽</w:t>
    </w:r>
    <w:r>
      <w:rPr>
        <w:rFonts w:hint="default" w:ascii="Times New Roman" w:hAnsi="Times New Roman" w:eastAsia="宋体" w:cs="Times New Roman"/>
        <w:sz w:val="21"/>
        <w:szCs w:val="21"/>
        <w:lang w:eastAsia="zh-CN"/>
      </w:rPr>
      <w:t>省食品药品检验研究院</w:t>
    </w:r>
    <w:r>
      <w:rPr>
        <w:rFonts w:hint="eastAsia" w:ascii="Times New Roman" w:hAnsi="Times New Roman" w:eastAsia="宋体" w:cs="Times New Roman"/>
        <w:sz w:val="21"/>
        <w:szCs w:val="21"/>
        <w:lang w:eastAsia="zh-CN"/>
      </w:rPr>
      <w:t xml:space="preserve"> </w:t>
    </w:r>
    <w:r>
      <w:rPr>
        <w:rFonts w:hint="eastAsia"/>
        <w:sz w:val="21"/>
        <w:szCs w:val="21"/>
      </w:rPr>
      <w:t xml:space="preserve"> </w:t>
    </w:r>
    <w:r>
      <w:rPr>
        <w:rFonts w:hint="eastAsia"/>
        <w:sz w:val="21"/>
        <w:szCs w:val="21"/>
        <w:lang w:val="en-US" w:eastAsia="zh-CN"/>
      </w:rPr>
      <w:t xml:space="preserve">        </w:t>
    </w:r>
    <w:r>
      <w:rPr>
        <w:rFonts w:hint="eastAsia"/>
        <w:sz w:val="21"/>
        <w:szCs w:val="21"/>
      </w:rPr>
      <w:t xml:space="preserve">审核   </w:t>
    </w:r>
    <w:r>
      <w:rPr>
        <w:rFonts w:hint="eastAsia"/>
        <w:sz w:val="21"/>
        <w:szCs w:val="21"/>
        <w:lang w:val="en-US" w:eastAsia="zh-CN"/>
      </w:rPr>
      <w:t xml:space="preserve">  </w:t>
    </w:r>
    <w:r>
      <w:rPr>
        <w:rFonts w:hint="eastAsia"/>
        <w:sz w:val="21"/>
        <w:szCs w:val="21"/>
      </w:rPr>
      <w:t>新疆维吾尔自治区药品监督管理局      发布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BjYzA1Zjc2Y2Y3ZGE2MzM5OGMyZjYxNzEzMTVlNDMifQ=="/>
  </w:docVars>
  <w:rsids>
    <w:rsidRoot w:val="000A3663"/>
    <w:rsid w:val="000340FC"/>
    <w:rsid w:val="00035BF6"/>
    <w:rsid w:val="00073D9D"/>
    <w:rsid w:val="000A3663"/>
    <w:rsid w:val="000D1A03"/>
    <w:rsid w:val="00131428"/>
    <w:rsid w:val="00184C70"/>
    <w:rsid w:val="00195025"/>
    <w:rsid w:val="00210293"/>
    <w:rsid w:val="00215291"/>
    <w:rsid w:val="00243230"/>
    <w:rsid w:val="0026376F"/>
    <w:rsid w:val="002877FA"/>
    <w:rsid w:val="002D0157"/>
    <w:rsid w:val="002F5FF0"/>
    <w:rsid w:val="003045ED"/>
    <w:rsid w:val="00313E38"/>
    <w:rsid w:val="00335E3B"/>
    <w:rsid w:val="00354D90"/>
    <w:rsid w:val="003A388D"/>
    <w:rsid w:val="004064A9"/>
    <w:rsid w:val="00434874"/>
    <w:rsid w:val="004B265F"/>
    <w:rsid w:val="004C1DB7"/>
    <w:rsid w:val="004C1EAC"/>
    <w:rsid w:val="004C2EF0"/>
    <w:rsid w:val="00501DDC"/>
    <w:rsid w:val="00546E89"/>
    <w:rsid w:val="005B034B"/>
    <w:rsid w:val="005B4CE1"/>
    <w:rsid w:val="005B6AB3"/>
    <w:rsid w:val="005D216B"/>
    <w:rsid w:val="005D2534"/>
    <w:rsid w:val="005E68C1"/>
    <w:rsid w:val="006251EE"/>
    <w:rsid w:val="006511AF"/>
    <w:rsid w:val="00655DB9"/>
    <w:rsid w:val="0067212E"/>
    <w:rsid w:val="006D6246"/>
    <w:rsid w:val="006F3BC4"/>
    <w:rsid w:val="00731132"/>
    <w:rsid w:val="008120B4"/>
    <w:rsid w:val="00821DF0"/>
    <w:rsid w:val="00833890"/>
    <w:rsid w:val="00835C4F"/>
    <w:rsid w:val="00854154"/>
    <w:rsid w:val="008C6800"/>
    <w:rsid w:val="00920966"/>
    <w:rsid w:val="00961B94"/>
    <w:rsid w:val="00977F5E"/>
    <w:rsid w:val="00983938"/>
    <w:rsid w:val="00992813"/>
    <w:rsid w:val="009F66F5"/>
    <w:rsid w:val="009F796C"/>
    <w:rsid w:val="00A01340"/>
    <w:rsid w:val="00A12BE9"/>
    <w:rsid w:val="00A41FD2"/>
    <w:rsid w:val="00A57153"/>
    <w:rsid w:val="00A82294"/>
    <w:rsid w:val="00A9403A"/>
    <w:rsid w:val="00B13A6A"/>
    <w:rsid w:val="00B47012"/>
    <w:rsid w:val="00C14077"/>
    <w:rsid w:val="00C531AA"/>
    <w:rsid w:val="00C942C8"/>
    <w:rsid w:val="00CD5763"/>
    <w:rsid w:val="00CF1E5F"/>
    <w:rsid w:val="00DA0EBB"/>
    <w:rsid w:val="00DC1D37"/>
    <w:rsid w:val="00DC4E5D"/>
    <w:rsid w:val="00DC7994"/>
    <w:rsid w:val="00DD2E61"/>
    <w:rsid w:val="00DF26A1"/>
    <w:rsid w:val="00E2758B"/>
    <w:rsid w:val="00F661D3"/>
    <w:rsid w:val="00FC35ED"/>
    <w:rsid w:val="00FC51B1"/>
    <w:rsid w:val="00FE0F42"/>
    <w:rsid w:val="00FF5492"/>
    <w:rsid w:val="034F5D03"/>
    <w:rsid w:val="042A45A4"/>
    <w:rsid w:val="0ABA6107"/>
    <w:rsid w:val="0C756C7F"/>
    <w:rsid w:val="0D5E5321"/>
    <w:rsid w:val="0E066223"/>
    <w:rsid w:val="0F780715"/>
    <w:rsid w:val="15170DCC"/>
    <w:rsid w:val="17DF0FF5"/>
    <w:rsid w:val="1AFC2F3E"/>
    <w:rsid w:val="1E82740E"/>
    <w:rsid w:val="1F637F87"/>
    <w:rsid w:val="23E97DD8"/>
    <w:rsid w:val="248D6F6C"/>
    <w:rsid w:val="24EA2059"/>
    <w:rsid w:val="35D2724E"/>
    <w:rsid w:val="36355906"/>
    <w:rsid w:val="3BB217F3"/>
    <w:rsid w:val="40B46FF2"/>
    <w:rsid w:val="4194717D"/>
    <w:rsid w:val="4CF017FF"/>
    <w:rsid w:val="4D9D3E1A"/>
    <w:rsid w:val="540C14D2"/>
    <w:rsid w:val="546A778A"/>
    <w:rsid w:val="54A92AE8"/>
    <w:rsid w:val="55693F94"/>
    <w:rsid w:val="5C942DC6"/>
    <w:rsid w:val="5F8C3E2A"/>
    <w:rsid w:val="628A4E87"/>
    <w:rsid w:val="63312626"/>
    <w:rsid w:val="63702F31"/>
    <w:rsid w:val="64195594"/>
    <w:rsid w:val="6578453C"/>
    <w:rsid w:val="65DC4ACB"/>
    <w:rsid w:val="665E6A32"/>
    <w:rsid w:val="687154B8"/>
    <w:rsid w:val="6CF82973"/>
    <w:rsid w:val="723A7E10"/>
    <w:rsid w:val="725364AA"/>
    <w:rsid w:val="72E66F89"/>
    <w:rsid w:val="7307389F"/>
    <w:rsid w:val="73FA6B9B"/>
    <w:rsid w:val="74135451"/>
    <w:rsid w:val="76C33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 w:eastAsia="宋体" w:cs="Times New Roman"/>
      <w:b/>
      <w:bCs/>
      <w:sz w:val="28"/>
      <w:szCs w:val="2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nhideWhenUsed/>
    <w:qFormat/>
    <w:uiPriority w:val="99"/>
    <w:pPr>
      <w:spacing w:line="480" w:lineRule="exact"/>
      <w:ind w:firstLine="560" w:firstLineChars="200"/>
    </w:pPr>
    <w:rPr>
      <w:sz w:val="28"/>
      <w:szCs w:val="20"/>
    </w:rPr>
  </w:style>
  <w:style w:type="paragraph" w:styleId="4">
    <w:name w:val="Plain Text"/>
    <w:basedOn w:val="1"/>
    <w:unhideWhenUsed/>
    <w:qFormat/>
    <w:uiPriority w:val="9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Calibri" w:hAnsi="Courier New" w:eastAsia="宋体" w:cs="Times New Roman"/>
      <w:kern w:val="2"/>
      <w:sz w:val="21"/>
      <w:szCs w:val="21"/>
      <w:lang w:val="en-US" w:eastAsia="zh-CN" w:bidi="ar"/>
    </w:rPr>
  </w:style>
  <w:style w:type="paragraph" w:styleId="5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paragraph" w:styleId="9">
    <w:name w:val="Normal (Web)"/>
    <w:basedOn w:val="1"/>
    <w:semiHidden/>
    <w:unhideWhenUsed/>
    <w:qFormat/>
    <w:uiPriority w:val="99"/>
    <w:rPr>
      <w:sz w:val="24"/>
    </w:rPr>
  </w:style>
  <w:style w:type="paragraph" w:styleId="10">
    <w:name w:val="Body Text First Indent 2"/>
    <w:basedOn w:val="3"/>
    <w:qFormat/>
    <w:uiPriority w:val="0"/>
    <w:pPr>
      <w:tabs>
        <w:tab w:val="left" w:pos="2160"/>
      </w:tabs>
      <w:spacing w:line="360" w:lineRule="auto"/>
      <w:ind w:firstLine="480"/>
    </w:pPr>
    <w:rPr>
      <w:sz w:val="24"/>
    </w:r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kern w:val="2"/>
      <w:sz w:val="24"/>
      <w:szCs w:val="24"/>
      <w:lang w:val="en-US" w:eastAsia="zh-CN" w:bidi="ar-SA"/>
    </w:rPr>
  </w:style>
  <w:style w:type="character" w:customStyle="1" w:styleId="14">
    <w:name w:val="批注框文本 Char"/>
    <w:basedOn w:val="12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眉 Char"/>
    <w:basedOn w:val="12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页脚 Char"/>
    <w:basedOn w:val="12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7">
    <w:name w:val="Body text|2"/>
    <w:basedOn w:val="1"/>
    <w:qFormat/>
    <w:uiPriority w:val="0"/>
    <w:pPr>
      <w:shd w:val="clear" w:color="auto" w:fill="FFFFFF"/>
      <w:spacing w:before="660" w:line="619" w:lineRule="exact"/>
      <w:ind w:firstLine="600"/>
    </w:pPr>
    <w:rPr>
      <w:rFonts w:ascii="PMingLiU" w:hAnsi="PMingLiU" w:eastAsia="PMingLiU" w:cs="PMingLiU"/>
      <w:sz w:val="26"/>
      <w:szCs w:val="26"/>
    </w:rPr>
  </w:style>
  <w:style w:type="character" w:customStyle="1" w:styleId="18">
    <w:name w:val="Body text|2 + Bold"/>
    <w:qFormat/>
    <w:uiPriority w:val="0"/>
    <w:rPr>
      <w:rFonts w:ascii="PMingLiU" w:hAnsi="PMingLiU" w:eastAsia="PMingLiU" w:cs="PMingLiU"/>
      <w:b/>
      <w:bCs/>
      <w:color w:val="000000"/>
      <w:spacing w:val="0"/>
      <w:w w:val="100"/>
      <w:position w:val="0"/>
      <w:sz w:val="20"/>
      <w:szCs w:val="20"/>
      <w:u w:val="none"/>
      <w:lang w:val="zh-CN" w:eastAsia="zh-CN" w:bidi="zh-CN"/>
    </w:rPr>
  </w:style>
  <w:style w:type="character" w:customStyle="1" w:styleId="19">
    <w:name w:val="Body text|2 + Spacing 2 pt"/>
    <w:qFormat/>
    <w:uiPriority w:val="0"/>
    <w:rPr>
      <w:rFonts w:ascii="PMingLiU" w:hAnsi="PMingLiU" w:eastAsia="PMingLiU" w:cs="PMingLiU"/>
      <w:color w:val="000000"/>
      <w:spacing w:val="40"/>
      <w:w w:val="100"/>
      <w:position w:val="0"/>
      <w:sz w:val="20"/>
      <w:szCs w:val="20"/>
      <w:u w:val="none"/>
      <w:lang w:val="zh-CN" w:eastAsia="zh-CN" w:bidi="zh-CN"/>
    </w:rPr>
  </w:style>
  <w:style w:type="character" w:customStyle="1" w:styleId="20">
    <w:name w:val="Body text|2 + 14 pt"/>
    <w:qFormat/>
    <w:uiPriority w:val="0"/>
    <w:rPr>
      <w:rFonts w:ascii="PMingLiU" w:hAnsi="PMingLiU" w:eastAsia="PMingLiU" w:cs="PMingLiU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paragraph" w:customStyle="1" w:styleId="21">
    <w:name w:val="Body text|5"/>
    <w:basedOn w:val="1"/>
    <w:qFormat/>
    <w:uiPriority w:val="0"/>
    <w:pPr>
      <w:shd w:val="clear" w:color="auto" w:fill="FFFFFF"/>
      <w:spacing w:after="660" w:line="600" w:lineRule="exact"/>
      <w:jc w:val="center"/>
    </w:pPr>
    <w:rPr>
      <w:rFonts w:eastAsia="宋体"/>
      <w:sz w:val="28"/>
      <w:szCs w:val="28"/>
      <w:lang w:val="en-US" w:eastAsia="en-US" w:bidi="en-US"/>
    </w:rPr>
  </w:style>
  <w:style w:type="character" w:customStyle="1" w:styleId="22">
    <w:name w:val="日期 Char"/>
    <w:qFormat/>
    <w:uiPriority w:val="0"/>
    <w:rPr>
      <w:rFonts w:eastAsia="宋体"/>
      <w:kern w:val="1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xjda</Company>
  <Pages>2</Pages>
  <Words>848</Words>
  <Characters>1010</Characters>
  <Lines>3</Lines>
  <Paragraphs>1</Paragraphs>
  <TotalTime>0</TotalTime>
  <ScaleCrop>false</ScaleCrop>
  <LinksUpToDate>false</LinksUpToDate>
  <CharactersWithSpaces>1066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2014-10-17T09:28:00Z</dcterms:created>
  <dc:creator>章运_65zy</dc:creator>
  <cp:lastModifiedBy>小倩啦啦</cp:lastModifiedBy>
  <cp:lastPrinted>2025-01-10T10:33:00Z</cp:lastPrinted>
  <dcterms:modified xsi:type="dcterms:W3CDTF">2025-12-19T09:50:27Z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52E3152DC3E24FB391B469848EBDFEFB_13</vt:lpwstr>
  </property>
  <property fmtid="{D5CDD505-2E9C-101B-9397-08002B2CF9AE}" pid="4" name="KSOTemplateDocerSaveRecord">
    <vt:lpwstr>eyJoZGlkIjoiOTM0ZGQ3NmQ3ZWY0NWM5NzEyMmI1NmUxNGVmNzg3OTYiLCJ1c2VySWQiOiIzNDI3NDEyODEifQ==</vt:lpwstr>
  </property>
</Properties>
</file>