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6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 胡芦巴草地区性民间习用药材质量标准制定草案公示稿</w:t>
      </w:r>
    </w:p>
    <w:p w14:paraId="52FD3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D4E5950">
      <w:pPr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胡芦巴草</w:t>
      </w:r>
    </w:p>
    <w:p w14:paraId="2D2F038A">
      <w:pPr>
        <w:pStyle w:val="3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Hulubacao</w:t>
      </w:r>
    </w:p>
    <w:p w14:paraId="238F5FB8"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drawing>
          <wp:inline distT="0" distB="0" distL="114300" distR="114300">
            <wp:extent cx="309245" cy="227965"/>
            <wp:effectExtent l="0" t="0" r="14605" b="635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/>
                    </pic:cNvPicPr>
                  </pic:nvPicPr>
                  <pic:blipFill>
                    <a:blip r:embed="rId4"/>
                    <a:srcRect t="1813" r="6883" b="5181"/>
                    <a:stretch>
                      <a:fillRect/>
                    </a:stretch>
                  </pic:blipFill>
                  <pic:spPr>
                    <a:xfrm>
                      <a:off x="0" y="0"/>
                      <a:ext cx="30924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drawing>
          <wp:inline distT="0" distB="0" distL="114300" distR="114300">
            <wp:extent cx="480695" cy="221615"/>
            <wp:effectExtent l="0" t="0" r="14605" b="6985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/>
                    <pic:cNvPicPr>
                      <a:picLocks noChangeAspect="1"/>
                    </pic:cNvPicPr>
                  </pic:nvPicPr>
                  <pic:blipFill>
                    <a:blip r:embed="rId5"/>
                    <a:srcRect l="11669" t="3056"/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39DFC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32"/>
        </w:rPr>
        <w:t>TRIGONELLAE  HERBA</w:t>
      </w:r>
    </w:p>
    <w:p w14:paraId="3A59EE6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</w:p>
    <w:p w14:paraId="1423B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 xml:space="preserve"> 本品为豆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科植物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胡芦巴</w:t>
      </w:r>
      <w:r>
        <w:rPr>
          <w:rFonts w:hint="default" w:ascii="Times New Roman" w:hAnsi="Times New Roman" w:cs="Times New Roman" w:eastAsiaTheme="minorEastAsia"/>
          <w:i/>
          <w:iCs/>
          <w:color w:val="auto"/>
          <w:sz w:val="24"/>
          <w:szCs w:val="24"/>
          <w:lang w:val="en-US" w:eastAsia="zh-CN"/>
        </w:rPr>
        <w:t>Trigonella foenum-graecum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 xml:space="preserve"> L.的干燥全草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夏、秋二季开花期至果实成熟前采收，洗净，干燥。</w:t>
      </w:r>
    </w:p>
    <w:p w14:paraId="6C4B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firstLine="361" w:firstLineChars="15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t>【性状】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本品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长30～80cm。根棕黑色至棕黄色，类圆锥形，可见须根或须根痕，断面淡黄色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。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茎棕黄色至绿色，多分枝，微被柔毛，质脆易折断，断面多中空。叶棕黄色至绿色，易脱落，皱缩，展开后小叶呈卵形、长倒卵形至长圆状披针形，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上部边缘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呈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齿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状，下面疏被柔毛，或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秃净。花无梗，萼筒状，被长柔毛，花冠黄白色至淡黄色。荚果棕黄色至绿色，细长，直或稍弯曲，无毛或微被柔毛，</w:t>
      </w:r>
      <w:r>
        <w:rPr>
          <w:rFonts w:hint="default" w:ascii="Times New Roman" w:hAnsi="Times New Roman" w:cs="Times New Roman" w:eastAsiaTheme="minorEastAsia"/>
          <w:bCs/>
          <w:color w:val="auto"/>
          <w:sz w:val="24"/>
          <w:szCs w:val="24"/>
          <w:highlight w:val="none"/>
          <w:lang w:val="en-US" w:eastAsia="zh-CN"/>
        </w:rPr>
        <w:t>表面有明显的纵长网纹，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 xml:space="preserve">先端具细长喙。气香，味微苦。   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2C7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t>鉴别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】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1）本品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粉末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浅棕黄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色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至绿色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。叶表皮细胞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表面观呈不规则形，垂周壁波状弯曲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，气孔不定式，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副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卫细胞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～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个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茎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表皮细胞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表面观呈类长方形、类方形或多角形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，气孔不定式，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副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卫细胞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～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个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非腺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毛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多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单细胞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较细长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，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多碎断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纤维多成束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，周围薄壁细胞含草酸钙方晶，形成晶纤维。导管主要为具缘纹孔导管、螺纹导管和网纹导管。</w:t>
      </w:r>
    </w:p>
    <w:p w14:paraId="26671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（2）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取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本品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粉末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0.2</w:t>
      </w:r>
      <w:r>
        <w:rPr>
          <w:rFonts w:hint="default" w:ascii="Times New Roman" w:hAnsi="Times New Roman" w:cs="Times New Roman" w:eastAsiaTheme="minorEastAsia"/>
          <w:bCs/>
          <w:color w:val="auto"/>
          <w:sz w:val="24"/>
          <w:szCs w:val="24"/>
        </w:rPr>
        <w:t>g，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加甲醇10ml，超声处理5分钟，滤过，滤液作为供试品溶液。另取胡芦巴草对照药材0.2g，同法制成对照药材溶液。再取苏氨酸对照品，加甲醇制成每1ml含0.1mg的溶液，作为对照品溶液。照薄层色谱法（《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中国药典》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2025年版通则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>0502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）试验，吸取上述三种溶液各5μl，分别点于同一硅胶G薄层板上，以正丁醇-冰乙酸-水（19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6：5）为展开剂，展开，取出，晾干，喷以茚三酮试液，在105℃加热至斑点显色清晰。供试品色谱中，在与对照药材色谱和对照品色谱相应的位置上，显相同颜色的斑点。</w:t>
      </w:r>
    </w:p>
    <w:p w14:paraId="062C2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eastAsia="zh-CN"/>
        </w:rPr>
        <w:t>检查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】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auto"/>
          <w:sz w:val="24"/>
          <w:szCs w:val="24"/>
          <w:lang w:eastAsia="zh-CN"/>
        </w:rPr>
        <w:t>水分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 xml:space="preserve"> 不得过11.0 %（《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中国药典》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2025年版通则0832第二法）。</w:t>
      </w:r>
    </w:p>
    <w:p w14:paraId="07C60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 xml:space="preserve">总灰分 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不得过12.0 %（《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中国药典》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2025年版通则2302）。</w:t>
      </w:r>
    </w:p>
    <w:p w14:paraId="1E1AF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6" w:firstLineChars="6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>酸不溶性灰分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 xml:space="preserve"> 不得过1.5%（《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中国药典》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2025年版通则2302）。</w:t>
      </w:r>
    </w:p>
    <w:p w14:paraId="1BC3A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 xml:space="preserve">    【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>性味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】 维吾尔医：性质，二级干热。中医：苦，热。归肾经。</w:t>
      </w:r>
    </w:p>
    <w:p w14:paraId="7575A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>功能与主治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】 维吾尔医：消炎镇痛，通淋调经，通便，温肺化痰，止咳平喘，利喉清音，补胃增食。用于湿寒性或黏液质性疾病，如毒疮湿疹、尿涩、闭经、便秘、寒性咳嗽、哮喘、脾炎、腰痛、各种泌尿器官炎症等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。</w:t>
      </w:r>
    </w:p>
    <w:p w14:paraId="696C4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中医：温肾助阳，祛寒止痛，软坚散结。用于肾阳不足所致的腰膝冷痛、阳痿遗精、尿频遗尿、肾炎；寒凝气滞引起的少腹冷痛、疝气疼痛。</w:t>
      </w:r>
    </w:p>
    <w:p w14:paraId="7B0E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>用法与用量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】 4～8g。外用适量。可入散剂、合剂等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/>
        </w:rPr>
        <w:t>。不宜过量服用。</w:t>
      </w:r>
    </w:p>
    <w:p w14:paraId="1A95E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>贮藏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】 置干燥处。</w:t>
      </w:r>
    </w:p>
    <w:p w14:paraId="39F31BE5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 w14:paraId="6F43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YzA1Zjc2Y2Y3ZGE2MzM5OGMyZjYxNzEzMTVlNDMifQ=="/>
  </w:docVars>
  <w:rsids>
    <w:rsidRoot w:val="52C8799A"/>
    <w:rsid w:val="002F722D"/>
    <w:rsid w:val="00B71E12"/>
    <w:rsid w:val="045E36FA"/>
    <w:rsid w:val="06F15AA5"/>
    <w:rsid w:val="0A893793"/>
    <w:rsid w:val="14567657"/>
    <w:rsid w:val="178C45C1"/>
    <w:rsid w:val="48F27928"/>
    <w:rsid w:val="4A1B390D"/>
    <w:rsid w:val="4BB704E3"/>
    <w:rsid w:val="52C8799A"/>
    <w:rsid w:val="6AB853DB"/>
    <w:rsid w:val="70C82518"/>
    <w:rsid w:val="727453D2"/>
    <w:rsid w:val="766936B6"/>
    <w:rsid w:val="789B2C77"/>
    <w:rsid w:val="F7EF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3">
    <w:name w:val="heading 9"/>
    <w:basedOn w:val="1"/>
    <w:next w:val="1"/>
    <w:unhideWhenUsed/>
    <w:qFormat/>
    <w:uiPriority w:val="0"/>
    <w:pPr>
      <w:keepNext/>
      <w:ind w:firstLine="560" w:firstLineChars="200"/>
      <w:jc w:val="center"/>
      <w:outlineLvl w:val="8"/>
    </w:pPr>
    <w:rPr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99"/>
    <w:rPr>
      <w:rFonts w:hAnsi="Courier New" w:cs="Times New Roman"/>
      <w:snapToGrid w:val="0"/>
      <w:sz w:val="21"/>
      <w:szCs w:val="20"/>
    </w:rPr>
  </w:style>
  <w:style w:type="paragraph" w:styleId="5">
    <w:name w:val="Balloon Text"/>
    <w:basedOn w:val="1"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0">
    <w:name w:val="Body text|5"/>
    <w:basedOn w:val="1"/>
    <w:qFormat/>
    <w:uiPriority w:val="0"/>
    <w:pPr>
      <w:shd w:val="clear" w:color="auto" w:fill="FFFFFF"/>
      <w:spacing w:after="660" w:line="600" w:lineRule="exact"/>
      <w:jc w:val="center"/>
    </w:pPr>
    <w:rPr>
      <w:rFonts w:eastAsia="宋体"/>
      <w:sz w:val="28"/>
      <w:szCs w:val="28"/>
      <w:lang w:val="en-US" w:eastAsia="en-US" w:bidi="en-US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961</Words>
  <Characters>1064</Characters>
  <Lines>0</Lines>
  <Paragraphs>0</Paragraphs>
  <TotalTime>3</TotalTime>
  <ScaleCrop>false</ScaleCrop>
  <LinksUpToDate>false</LinksUpToDate>
  <CharactersWithSpaces>1662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2024-05-27T18:43:00Z</dcterms:created>
  <dc:creator></dc:creator>
  <cp:lastModifiedBy>ADORE</cp:lastModifiedBy>
  <cp:lastPrinted>2025-11-18T07:45:00Z</cp:lastPrinted>
  <dcterms:modified xsi:type="dcterms:W3CDTF">2025-11-18T09:24:55Z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4780447D10CB4706A615B7E2C6F7420D_13</vt:lpwstr>
  </property>
  <property fmtid="{D5CDD505-2E9C-101B-9397-08002B2CF9AE}" pid="4" name="KSOTemplateDocerSaveRecord">
    <vt:lpwstr>eyJoZGlkIjoiZTMwYzJjOTdiMWQ1ZjBiMTdlY2IwZGIxMGIwMzBhOGEiLCJ1c2VySWQiOiIzMzUwMTc4MTEifQ==</vt:lpwstr>
  </property>
</Properties>
</file>