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DC" w:rsidRDefault="008838DC" w:rsidP="008838DC">
      <w:pPr>
        <w:adjustRightInd w:val="0"/>
      </w:pPr>
    </w:p>
    <w:p w:rsidR="008838DC" w:rsidRPr="00F5662F" w:rsidRDefault="008838DC" w:rsidP="008838DC">
      <w:pPr>
        <w:adjustRightInd w:val="0"/>
      </w:pPr>
      <w:r>
        <w:rPr>
          <w:rFonts w:eastAsia="方正仿宋简体"/>
          <w:noProof/>
        </w:rPr>
        <mc:AlternateContent>
          <mc:Choice Requires="wps">
            <w:drawing>
              <wp:anchor distT="0" distB="0" distL="114300" distR="114300" simplePos="0" relativeHeight="251661312" behindDoc="0" locked="0" layoutInCell="1" allowOverlap="1" wp14:anchorId="3D378F10" wp14:editId="17782D69">
                <wp:simplePos x="0" y="0"/>
                <wp:positionH relativeFrom="column">
                  <wp:align>center</wp:align>
                </wp:positionH>
                <wp:positionV relativeFrom="paragraph">
                  <wp:posOffset>3384550</wp:posOffset>
                </wp:positionV>
                <wp:extent cx="5600700" cy="635"/>
                <wp:effectExtent l="25400" t="19050" r="22225" b="2794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66.5pt" to="441pt,2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" strokecolor="red" strokeweight="3pt"/>
            </w:pict>
          </mc:Fallback>
        </mc:AlternateContent>
      </w:r>
      <w:r>
        <w:rPr>
          <w:rFonts w:eastAsia="方正仿宋简体"/>
          <w:noProof/>
        </w:rPr>
        <mc:AlternateContent>
          <mc:Choice Requires="wps">
            <w:drawing>
              <wp:anchor distT="0" distB="0" distL="114300" distR="114300" simplePos="0" relativeHeight="251660288" behindDoc="0" locked="0" layoutInCell="1" allowOverlap="1" wp14:anchorId="7872CB64" wp14:editId="66F1A8A5">
                <wp:simplePos x="0" y="0"/>
                <wp:positionH relativeFrom="column">
                  <wp:align>center</wp:align>
                </wp:positionH>
                <wp:positionV relativeFrom="paragraph">
                  <wp:posOffset>1367790</wp:posOffset>
                </wp:positionV>
                <wp:extent cx="5400040" cy="977265"/>
                <wp:effectExtent l="1905" t="0" r="0" b="444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97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8DC" w:rsidRDefault="008838DC" w:rsidP="008838DC">
                            <w:pPr>
                              <w:jc w:val="distribute"/>
                              <w:rPr>
                                <w:rFonts w:ascii="方正大标宋简体" w:eastAsia="方正大标宋简体" w:hAnsi="方正大标宋简体" w:cs="方正大标宋简体"/>
                                <w:color w:val="FF0000"/>
                                <w:w w:val="66"/>
                                <w:position w:val="6"/>
                                <w:sz w:val="84"/>
                                <w:szCs w:val="84"/>
                              </w:rPr>
                            </w:pPr>
                            <w:r>
                              <w:rPr>
                                <w:rFonts w:ascii="方正小标宋简体" w:eastAsia="方正小标宋简体" w:hAnsi="方正小标宋简体" w:cs="方正小标宋简体" w:hint="eastAsia"/>
                                <w:color w:val="FF0000"/>
                                <w:spacing w:val="-57"/>
                                <w:w w:val="80"/>
                                <w:position w:val="6"/>
                                <w:sz w:val="96"/>
                                <w:szCs w:val="96"/>
                              </w:rPr>
                              <w:t>药品监督管理局文件</w:t>
                            </w:r>
                          </w:p>
                          <w:p w:rsidR="008838DC" w:rsidRDefault="008838DC" w:rsidP="008838DC">
                            <w:pPr>
                              <w:jc w:val="distribute"/>
                              <w:rPr>
                                <w:w w:val="66"/>
                                <w:position w:val="6"/>
                                <w:sz w:val="96"/>
                                <w:szCs w:val="96"/>
                              </w:rPr>
                            </w:pPr>
                          </w:p>
                        </w:txbxContent>
                      </wps:txbx>
                      <wps:bodyPr rot="0" vert="horz" wrap="square" lIns="91439" tIns="0"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107.7pt;width:425.2pt;height:76.9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" filled="f" stroked="f">
                <v:textbox inset="2.53997mm,0,2.53997mm,1.27mm">
                  <w:txbxContent>
                    <w:p w:rsidR="008838DC" w:rsidRDefault="008838DC" w:rsidP="008838DC">
                      <w:pPr>
                        <w:jc w:val="distribute"/>
                        <w:rPr>
                          <w:rFonts w:ascii="方正大标宋简体" w:eastAsia="方正大标宋简体" w:hAnsi="方正大标宋简体" w:cs="方正大标宋简体"/>
                          <w:color w:val="FF0000"/>
                          <w:w w:val="66"/>
                          <w:position w:val="6"/>
                          <w:sz w:val="84"/>
                          <w:szCs w:val="84"/>
                        </w:rPr>
                      </w:pPr>
                      <w:r>
                        <w:rPr>
                          <w:rFonts w:ascii="方正小标宋简体" w:eastAsia="方正小标宋简体" w:hAnsi="方正小标宋简体" w:cs="方正小标宋简体" w:hint="eastAsia"/>
                          <w:color w:val="FF0000"/>
                          <w:spacing w:val="-57"/>
                          <w:w w:val="80"/>
                          <w:position w:val="6"/>
                          <w:sz w:val="96"/>
                          <w:szCs w:val="96"/>
                        </w:rPr>
                        <w:t>药品监督管理局文件</w:t>
                      </w:r>
                    </w:p>
                    <w:p w:rsidR="008838DC" w:rsidRDefault="008838DC" w:rsidP="008838DC">
                      <w:pPr>
                        <w:jc w:val="distribute"/>
                        <w:rPr>
                          <w:w w:val="66"/>
                          <w:position w:val="6"/>
                          <w:sz w:val="96"/>
                          <w:szCs w:val="96"/>
                        </w:rPr>
                      </w:pPr>
                    </w:p>
                  </w:txbxContent>
                </v:textbox>
              </v:shape>
            </w:pict>
          </mc:Fallback>
        </mc:AlternateContent>
      </w:r>
      <w:r>
        <w:rPr>
          <w:rFonts w:eastAsia="方正仿宋简体"/>
          <w:noProof/>
        </w:rPr>
        <mc:AlternateContent>
          <mc:Choice Requires="wps">
            <w:drawing>
              <wp:anchor distT="0" distB="0" distL="114300" distR="114300" simplePos="0" relativeHeight="251659264" behindDoc="0" locked="0" layoutInCell="1" allowOverlap="1" wp14:anchorId="5FDFC2BE" wp14:editId="263ED615">
                <wp:simplePos x="0" y="0"/>
                <wp:positionH relativeFrom="column">
                  <wp:align>center</wp:align>
                </wp:positionH>
                <wp:positionV relativeFrom="paragraph">
                  <wp:posOffset>681990</wp:posOffset>
                </wp:positionV>
                <wp:extent cx="4371340" cy="721995"/>
                <wp:effectExtent l="0" t="0" r="4445"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8DC" w:rsidRDefault="008838DC" w:rsidP="008838DC">
                            <w:pPr>
                              <w:jc w:val="distribute"/>
                              <w:rPr>
                                <w:rFonts w:ascii="方正小标宋简体" w:eastAsia="方正小标宋简体" w:hAnsi="方正小标宋简体" w:cs="方正小标宋简体"/>
                                <w:color w:val="FF0000"/>
                                <w:spacing w:val="74"/>
                                <w:sz w:val="72"/>
                                <w:szCs w:val="72"/>
                              </w:rPr>
                            </w:pPr>
                            <w:r>
                              <w:rPr>
                                <w:rFonts w:ascii="方正小标宋简体" w:eastAsia="方正小标宋简体" w:hAnsi="方正小标宋简体" w:cs="方正小标宋简体" w:hint="eastAsia"/>
                                <w:color w:val="FF0000"/>
                                <w:spacing w:val="1"/>
                                <w:kern w:val="40"/>
                                <w:sz w:val="72"/>
                                <w:szCs w:val="72"/>
                              </w:rPr>
                              <w:t>新疆维吾尔自治区</w:t>
                            </w:r>
                          </w:p>
                          <w:p w:rsidR="008838DC" w:rsidRDefault="008838DC" w:rsidP="008838DC">
                            <w:pPr>
                              <w:jc w:val="center"/>
                              <w:rPr>
                                <w:spacing w:val="74"/>
                              </w:rPr>
                            </w:pPr>
                          </w:p>
                        </w:txbxContent>
                      </wps:txbx>
                      <wps:bodyPr rot="0" vert="horz" wrap="square" lIns="91439" tIns="0"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53.7pt;width:344.2pt;height:56.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" filled="f" stroked="f">
                <v:textbox inset="2.53997mm,0,2.53997mm,1.27mm">
                  <w:txbxContent>
                    <w:p w:rsidR="008838DC" w:rsidRDefault="008838DC" w:rsidP="008838DC">
                      <w:pPr>
                        <w:jc w:val="distribute"/>
                        <w:rPr>
                          <w:rFonts w:ascii="方正小标宋简体" w:eastAsia="方正小标宋简体" w:hAnsi="方正小标宋简体" w:cs="方正小标宋简体"/>
                          <w:color w:val="FF0000"/>
                          <w:spacing w:val="74"/>
                          <w:sz w:val="72"/>
                          <w:szCs w:val="72"/>
                        </w:rPr>
                      </w:pPr>
                      <w:r>
                        <w:rPr>
                          <w:rFonts w:ascii="方正小标宋简体" w:eastAsia="方正小标宋简体" w:hAnsi="方正小标宋简体" w:cs="方正小标宋简体" w:hint="eastAsia"/>
                          <w:color w:val="FF0000"/>
                          <w:spacing w:val="1"/>
                          <w:kern w:val="40"/>
                          <w:sz w:val="72"/>
                          <w:szCs w:val="72"/>
                        </w:rPr>
                        <w:t>新疆维吾尔自治区</w:t>
                      </w:r>
                    </w:p>
                    <w:p w:rsidR="008838DC" w:rsidRDefault="008838DC" w:rsidP="008838DC">
                      <w:pPr>
                        <w:jc w:val="center"/>
                        <w:rPr>
                          <w:spacing w:val="74"/>
                        </w:rPr>
                      </w:pPr>
                    </w:p>
                  </w:txbxContent>
                </v:textbox>
              </v:shape>
            </w:pict>
          </mc:Fallback>
        </mc:AlternateContent>
      </w:r>
    </w:p>
    <w:p w:rsidR="008838DC" w:rsidRPr="00F5662F" w:rsidRDefault="008838DC" w:rsidP="008838DC">
      <w:pPr>
        <w:adjustRightInd w:val="0"/>
        <w:spacing w:line="360" w:lineRule="auto"/>
      </w:pPr>
    </w:p>
    <w:p w:rsidR="008838DC" w:rsidRPr="00F5662F" w:rsidRDefault="008838DC" w:rsidP="008838DC">
      <w:pPr>
        <w:adjustRightInd w:val="0"/>
      </w:pPr>
    </w:p>
    <w:p w:rsidR="008838DC" w:rsidRPr="00F5662F" w:rsidRDefault="008838DC" w:rsidP="008838DC">
      <w:pPr>
        <w:adjustRightInd w:val="0"/>
      </w:pPr>
    </w:p>
    <w:p w:rsidR="008838DC" w:rsidRPr="00F5662F" w:rsidRDefault="008838DC" w:rsidP="008838DC">
      <w:pPr>
        <w:adjustRightInd w:val="0"/>
      </w:pPr>
    </w:p>
    <w:p w:rsidR="00CC429E" w:rsidRPr="00485A20" w:rsidRDefault="00CC429E" w:rsidP="00464C6A">
      <w:pPr>
        <w:adjustRightInd w:val="0"/>
        <w:spacing w:line="360" w:lineRule="auto"/>
      </w:pPr>
    </w:p>
    <w:p w:rsidR="00357826" w:rsidRPr="00485A20" w:rsidRDefault="00357826" w:rsidP="00CF42B4">
      <w:pPr>
        <w:adjustRightInd w:val="0"/>
      </w:pPr>
    </w:p>
    <w:p w:rsidR="0004724F" w:rsidRPr="00485A20" w:rsidRDefault="0004724F" w:rsidP="001E47A3">
      <w:pPr>
        <w:adjustRightInd w:val="0"/>
        <w:jc w:val="center"/>
        <w:rPr>
          <w:rFonts w:ascii="楷体" w:eastAsia="楷体" w:hAnsi="楷体"/>
          <w:szCs w:val="30"/>
        </w:rPr>
      </w:pPr>
      <w:r w:rsidRPr="00485A20">
        <w:rPr>
          <w:rFonts w:hint="eastAsia"/>
          <w:szCs w:val="30"/>
        </w:rPr>
        <w:t>新药监</w:t>
      </w:r>
      <w:r w:rsidR="001E47A3">
        <w:rPr>
          <w:rFonts w:hint="eastAsia"/>
          <w:szCs w:val="30"/>
        </w:rPr>
        <w:t>注</w:t>
      </w:r>
      <w:r w:rsidRPr="00485A20">
        <w:rPr>
          <w:rFonts w:hint="eastAsia"/>
          <w:szCs w:val="30"/>
        </w:rPr>
        <w:t>〔201</w:t>
      </w:r>
      <w:r>
        <w:rPr>
          <w:rFonts w:hint="eastAsia"/>
          <w:szCs w:val="30"/>
        </w:rPr>
        <w:t>9</w:t>
      </w:r>
      <w:r w:rsidRPr="00485A20">
        <w:rPr>
          <w:rFonts w:hint="eastAsia"/>
          <w:szCs w:val="30"/>
        </w:rPr>
        <w:t>〕</w:t>
      </w:r>
      <w:r>
        <w:rPr>
          <w:rFonts w:hint="eastAsia"/>
          <w:szCs w:val="30"/>
        </w:rPr>
        <w:t>2</w:t>
      </w:r>
      <w:r w:rsidR="001E47A3">
        <w:rPr>
          <w:rFonts w:hint="eastAsia"/>
          <w:szCs w:val="30"/>
        </w:rPr>
        <w:t>5</w:t>
      </w:r>
      <w:r w:rsidRPr="00485A20">
        <w:rPr>
          <w:rFonts w:hint="eastAsia"/>
          <w:szCs w:val="30"/>
        </w:rPr>
        <w:t>号</w:t>
      </w:r>
    </w:p>
    <w:p w:rsidR="00464C6A" w:rsidRPr="00485A20" w:rsidRDefault="00464C6A" w:rsidP="00464C6A">
      <w:pPr>
        <w:adjustRightInd w:val="0"/>
        <w:rPr>
          <w:szCs w:val="30"/>
        </w:rPr>
      </w:pPr>
      <w:bookmarkStart w:id="0" w:name="_Toc455398733"/>
    </w:p>
    <w:p w:rsidR="00464C6A" w:rsidRPr="00485A20" w:rsidRDefault="00464C6A" w:rsidP="00464C6A">
      <w:pPr>
        <w:adjustRightInd w:val="0"/>
        <w:rPr>
          <w:szCs w:val="30"/>
        </w:rPr>
      </w:pPr>
    </w:p>
    <w:p w:rsidR="001E47A3" w:rsidRDefault="00E77DE3" w:rsidP="001E47A3">
      <w:pPr>
        <w:adjustRightInd w:val="0"/>
        <w:snapToGrid w:val="0"/>
        <w:jc w:val="center"/>
        <w:rPr>
          <w:rFonts w:ascii="方正小标宋简体" w:eastAsia="方正小标宋简体"/>
          <w:spacing w:val="20"/>
          <w:sz w:val="44"/>
          <w:szCs w:val="44"/>
        </w:rPr>
      </w:pPr>
      <w:r w:rsidRPr="00E77DE3">
        <w:rPr>
          <w:rFonts w:ascii="方正小标宋简体" w:eastAsia="方正小标宋简体" w:hint="eastAsia"/>
          <w:spacing w:val="20"/>
          <w:sz w:val="44"/>
          <w:szCs w:val="44"/>
        </w:rPr>
        <w:t>关</w:t>
      </w:r>
      <w:r w:rsidR="001E47A3">
        <w:rPr>
          <w:rFonts w:ascii="方正小标宋简体" w:eastAsia="方正小标宋简体" w:hint="eastAsia"/>
          <w:spacing w:val="20"/>
          <w:sz w:val="44"/>
          <w:szCs w:val="44"/>
        </w:rPr>
        <w:t>于印发《</w:t>
      </w:r>
      <w:r w:rsidR="001E47A3" w:rsidRPr="001E47A3">
        <w:rPr>
          <w:rFonts w:ascii="方正小标宋简体" w:eastAsia="方正小标宋简体" w:hint="eastAsia"/>
          <w:spacing w:val="20"/>
          <w:sz w:val="44"/>
          <w:szCs w:val="44"/>
        </w:rPr>
        <w:t>自治区药品监管局落实</w:t>
      </w:r>
    </w:p>
    <w:p w:rsidR="001E47A3" w:rsidRDefault="001E47A3" w:rsidP="001E47A3">
      <w:pPr>
        <w:adjustRightInd w:val="0"/>
        <w:snapToGrid w:val="0"/>
        <w:jc w:val="center"/>
        <w:rPr>
          <w:rFonts w:ascii="方正小标宋简体" w:eastAsia="方正小标宋简体"/>
          <w:spacing w:val="20"/>
          <w:sz w:val="44"/>
          <w:szCs w:val="44"/>
        </w:rPr>
      </w:pPr>
      <w:r w:rsidRPr="001E47A3">
        <w:rPr>
          <w:rFonts w:ascii="方正小标宋简体" w:eastAsia="方正小标宋简体" w:hint="eastAsia"/>
          <w:spacing w:val="20"/>
          <w:sz w:val="44"/>
          <w:szCs w:val="44"/>
        </w:rPr>
        <w:t>“证照分离”改革实施第二类医疗器械</w:t>
      </w:r>
    </w:p>
    <w:p w:rsidR="00E62060" w:rsidRDefault="001E47A3" w:rsidP="001E47A3">
      <w:pPr>
        <w:adjustRightInd w:val="0"/>
        <w:snapToGrid w:val="0"/>
        <w:jc w:val="center"/>
        <w:rPr>
          <w:rFonts w:ascii="方正小标宋简体" w:eastAsia="方正小标宋简体"/>
          <w:spacing w:val="20"/>
          <w:sz w:val="44"/>
          <w:szCs w:val="44"/>
        </w:rPr>
      </w:pPr>
      <w:r w:rsidRPr="001E47A3">
        <w:rPr>
          <w:rFonts w:ascii="方正小标宋简体" w:eastAsia="方正小标宋简体" w:hint="eastAsia"/>
          <w:spacing w:val="20"/>
          <w:sz w:val="44"/>
          <w:szCs w:val="44"/>
        </w:rPr>
        <w:t>产品注册优化措施</w:t>
      </w:r>
      <w:r>
        <w:rPr>
          <w:rFonts w:ascii="方正小标宋简体" w:eastAsia="方正小标宋简体" w:hint="eastAsia"/>
          <w:spacing w:val="20"/>
          <w:sz w:val="44"/>
          <w:szCs w:val="44"/>
        </w:rPr>
        <w:t>》</w:t>
      </w:r>
      <w:r w:rsidR="00E62060">
        <w:rPr>
          <w:rFonts w:ascii="方正小标宋简体" w:eastAsia="方正小标宋简体" w:hint="eastAsia"/>
          <w:spacing w:val="20"/>
          <w:sz w:val="44"/>
          <w:szCs w:val="44"/>
        </w:rPr>
        <w:t>和</w:t>
      </w:r>
      <w:r w:rsidR="00E62060" w:rsidRPr="00E62060">
        <w:rPr>
          <w:rFonts w:ascii="方正小标宋简体" w:eastAsia="方正小标宋简体" w:hint="eastAsia"/>
          <w:spacing w:val="20"/>
          <w:sz w:val="44"/>
          <w:szCs w:val="44"/>
        </w:rPr>
        <w:t>《自治区第二类医疗器械注册质量管理体系核查</w:t>
      </w:r>
    </w:p>
    <w:p w:rsidR="001E47A3" w:rsidRDefault="00E62060" w:rsidP="001E47A3">
      <w:pPr>
        <w:adjustRightInd w:val="0"/>
        <w:snapToGrid w:val="0"/>
        <w:jc w:val="center"/>
        <w:rPr>
          <w:rFonts w:ascii="方正小标宋简体" w:eastAsia="方正小标宋简体"/>
          <w:spacing w:val="20"/>
          <w:sz w:val="44"/>
          <w:szCs w:val="44"/>
        </w:rPr>
      </w:pPr>
      <w:r w:rsidRPr="00E62060">
        <w:rPr>
          <w:rFonts w:ascii="方正小标宋简体" w:eastAsia="方正小标宋简体" w:hint="eastAsia"/>
          <w:spacing w:val="20"/>
          <w:sz w:val="44"/>
          <w:szCs w:val="44"/>
        </w:rPr>
        <w:t>工作程序》</w:t>
      </w:r>
      <w:r w:rsidR="001E47A3">
        <w:rPr>
          <w:rFonts w:ascii="方正小标宋简体" w:eastAsia="方正小标宋简体" w:hint="eastAsia"/>
          <w:spacing w:val="20"/>
          <w:sz w:val="44"/>
          <w:szCs w:val="44"/>
        </w:rPr>
        <w:t>的通知</w:t>
      </w:r>
    </w:p>
    <w:p w:rsidR="00E77DE3" w:rsidRPr="00E77DE3" w:rsidRDefault="00E77DE3" w:rsidP="001E47A3">
      <w:pPr>
        <w:adjustRightInd w:val="0"/>
      </w:pPr>
    </w:p>
    <w:p w:rsidR="001E47A3" w:rsidRDefault="001E47A3" w:rsidP="001E47A3">
      <w:pPr>
        <w:adjustRightInd w:val="0"/>
        <w:rPr>
          <w:rFonts w:hAnsi="仿宋" w:cs="仿宋"/>
          <w:szCs w:val="32"/>
        </w:rPr>
      </w:pPr>
      <w:r>
        <w:rPr>
          <w:rFonts w:hAnsi="仿宋" w:cs="仿宋" w:hint="eastAsia"/>
          <w:szCs w:val="32"/>
        </w:rPr>
        <w:t>伊犁哈萨克自治州食品药品监督管理局，各地、州、市</w:t>
      </w:r>
      <w:r w:rsidR="006E7587">
        <w:rPr>
          <w:rFonts w:hAnsi="仿宋" w:cs="仿宋" w:hint="eastAsia"/>
          <w:szCs w:val="32"/>
        </w:rPr>
        <w:t>市场监督管理局</w:t>
      </w:r>
      <w:r>
        <w:rPr>
          <w:rFonts w:hAnsi="仿宋" w:cs="仿宋" w:hint="eastAsia"/>
          <w:szCs w:val="32"/>
        </w:rPr>
        <w:t>（</w:t>
      </w:r>
      <w:r w:rsidR="006E7587">
        <w:rPr>
          <w:rFonts w:hAnsi="仿宋" w:cs="仿宋" w:hint="eastAsia"/>
          <w:szCs w:val="32"/>
        </w:rPr>
        <w:t>食品药品监督管理局</w:t>
      </w:r>
      <w:r>
        <w:rPr>
          <w:rFonts w:hAnsi="仿宋" w:cs="仿宋" w:hint="eastAsia"/>
          <w:szCs w:val="32"/>
        </w:rPr>
        <w:t>）</w:t>
      </w:r>
      <w:bookmarkStart w:id="1" w:name="_GoBack"/>
      <w:r w:rsidR="006E7587">
        <w:rPr>
          <w:rFonts w:hAnsi="仿宋" w:cs="仿宋" w:hint="eastAsia"/>
          <w:szCs w:val="32"/>
        </w:rPr>
        <w:t>，各有关单位</w:t>
      </w:r>
      <w:bookmarkEnd w:id="1"/>
      <w:r>
        <w:rPr>
          <w:rFonts w:hAnsi="仿宋" w:cs="仿宋" w:hint="eastAsia"/>
          <w:szCs w:val="32"/>
        </w:rPr>
        <w:t>：</w:t>
      </w:r>
    </w:p>
    <w:p w:rsidR="00506520" w:rsidRDefault="001E47A3" w:rsidP="0004724F">
      <w:pPr>
        <w:adjustRightInd w:val="0"/>
        <w:ind w:firstLineChars="200" w:firstLine="624"/>
        <w:rPr>
          <w:rFonts w:hAnsi="仿宋" w:cs="仿宋"/>
          <w:szCs w:val="32"/>
        </w:rPr>
      </w:pPr>
      <w:r>
        <w:rPr>
          <w:rFonts w:hAnsi="仿宋" w:cs="仿宋" w:hint="eastAsia"/>
          <w:szCs w:val="32"/>
        </w:rPr>
        <w:t>根据</w:t>
      </w:r>
      <w:r w:rsidR="00E62060">
        <w:rPr>
          <w:rFonts w:hAnsi="仿宋" w:cs="仿宋" w:hint="eastAsia"/>
          <w:szCs w:val="32"/>
        </w:rPr>
        <w:t>自治区药品监督管理局综合办公室</w:t>
      </w:r>
      <w:r>
        <w:rPr>
          <w:rFonts w:hAnsi="仿宋" w:cs="仿宋" w:hint="eastAsia"/>
          <w:szCs w:val="32"/>
        </w:rPr>
        <w:t>《</w:t>
      </w:r>
      <w:r w:rsidR="00E62060" w:rsidRPr="00E62060">
        <w:rPr>
          <w:rFonts w:hAnsi="仿宋" w:cs="仿宋" w:hint="eastAsia"/>
          <w:szCs w:val="32"/>
        </w:rPr>
        <w:t>关于印发</w:t>
      </w:r>
      <w:r>
        <w:rPr>
          <w:rFonts w:hAnsi="仿宋" w:cs="仿宋" w:hint="eastAsia"/>
          <w:szCs w:val="32"/>
        </w:rPr>
        <w:t>〈</w:t>
      </w:r>
      <w:r w:rsidR="00E62060" w:rsidRPr="00E62060">
        <w:rPr>
          <w:rFonts w:hAnsi="仿宋" w:cs="仿宋" w:hint="eastAsia"/>
          <w:szCs w:val="32"/>
        </w:rPr>
        <w:t>自治区</w:t>
      </w:r>
      <w:r w:rsidR="00E62060" w:rsidRPr="00E62060">
        <w:rPr>
          <w:rFonts w:hAnsi="仿宋" w:cs="仿宋" w:hint="eastAsia"/>
          <w:szCs w:val="32"/>
        </w:rPr>
        <w:lastRenderedPageBreak/>
        <w:t>药品监管局落实“证照分离”改革措施进一步推进医疗器械审评审批制度改革实施方案</w:t>
      </w:r>
      <w:r>
        <w:rPr>
          <w:rFonts w:hAnsi="仿宋" w:cs="仿宋" w:hint="eastAsia"/>
          <w:szCs w:val="32"/>
        </w:rPr>
        <w:t>〉</w:t>
      </w:r>
      <w:r w:rsidR="00E62060" w:rsidRPr="00E62060">
        <w:rPr>
          <w:rFonts w:hAnsi="仿宋" w:cs="仿宋" w:hint="eastAsia"/>
          <w:szCs w:val="32"/>
        </w:rPr>
        <w:t>的通知</w:t>
      </w:r>
      <w:r>
        <w:rPr>
          <w:rFonts w:hAnsi="仿宋" w:cs="仿宋" w:hint="eastAsia"/>
          <w:szCs w:val="32"/>
        </w:rPr>
        <w:t>》（药监办</w:t>
      </w:r>
      <w:r w:rsidRPr="00485A20">
        <w:rPr>
          <w:rFonts w:hint="eastAsia"/>
          <w:szCs w:val="30"/>
        </w:rPr>
        <w:t>〔201</w:t>
      </w:r>
      <w:r>
        <w:rPr>
          <w:rFonts w:hint="eastAsia"/>
          <w:szCs w:val="30"/>
        </w:rPr>
        <w:t>9</w:t>
      </w:r>
      <w:r w:rsidRPr="00485A20">
        <w:rPr>
          <w:rFonts w:hint="eastAsia"/>
          <w:szCs w:val="30"/>
        </w:rPr>
        <w:t>〕</w:t>
      </w:r>
      <w:r>
        <w:rPr>
          <w:rFonts w:hAnsi="仿宋" w:cs="仿宋" w:hint="eastAsia"/>
          <w:szCs w:val="32"/>
        </w:rPr>
        <w:t>11号），我局制定了《自治区药品监管局落实“证照分离”改革实施第二类医疗器械产品注册优化措施》和《自治区第二类医疗器械注册质量管理体系核查工作程序》，现印发你们，请遵照执行。</w:t>
      </w:r>
    </w:p>
    <w:p w:rsidR="001E47A3" w:rsidRDefault="001E47A3" w:rsidP="0004724F">
      <w:pPr>
        <w:adjustRightInd w:val="0"/>
        <w:ind w:firstLineChars="200" w:firstLine="624"/>
        <w:rPr>
          <w:rFonts w:hAnsi="仿宋" w:cs="仿宋"/>
          <w:szCs w:val="32"/>
        </w:rPr>
      </w:pPr>
    </w:p>
    <w:p w:rsidR="001E47A3" w:rsidRPr="0004724F" w:rsidRDefault="001E47A3" w:rsidP="0004724F">
      <w:pPr>
        <w:adjustRightInd w:val="0"/>
        <w:ind w:firstLineChars="200" w:firstLine="624"/>
      </w:pPr>
    </w:p>
    <w:p w:rsidR="000856E5" w:rsidRPr="00B66478" w:rsidRDefault="006A5CAA" w:rsidP="0004724F">
      <w:pPr>
        <w:adjustRightInd w:val="0"/>
        <w:ind w:firstLineChars="1350" w:firstLine="4209"/>
      </w:pPr>
      <w:r>
        <w:rPr>
          <w:rFonts w:hint="eastAsia"/>
        </w:rPr>
        <w:t>自治区</w:t>
      </w:r>
      <w:r w:rsidR="000856E5" w:rsidRPr="00B66478">
        <w:rPr>
          <w:rFonts w:hint="eastAsia"/>
        </w:rPr>
        <w:t>药品监督管理局</w:t>
      </w:r>
    </w:p>
    <w:p w:rsidR="000856E5" w:rsidRPr="00B66478" w:rsidRDefault="00E77DE3" w:rsidP="0004724F">
      <w:pPr>
        <w:adjustRightInd w:val="0"/>
        <w:ind w:firstLineChars="1500" w:firstLine="4677"/>
      </w:pPr>
      <w:r>
        <w:rPr>
          <w:rFonts w:hint="eastAsia"/>
        </w:rPr>
        <w:t>2019年2月2</w:t>
      </w:r>
      <w:r w:rsidR="001E47A3">
        <w:rPr>
          <w:rFonts w:hint="eastAsia"/>
        </w:rPr>
        <w:t>8</w:t>
      </w:r>
      <w:r>
        <w:rPr>
          <w:rFonts w:hint="eastAsia"/>
        </w:rPr>
        <w:t>日</w:t>
      </w:r>
    </w:p>
    <w:p w:rsidR="00124E49" w:rsidRDefault="00124E49" w:rsidP="0004724F">
      <w:pPr>
        <w:adjustRightInd w:val="0"/>
        <w:ind w:firstLineChars="200" w:firstLine="624"/>
        <w:rPr>
          <w:rFonts w:ascii="仿宋_GB2312"/>
        </w:rPr>
      </w:pPr>
      <w:r w:rsidRPr="00485A20">
        <w:rPr>
          <w:rFonts w:ascii="仿宋_GB2312" w:hint="eastAsia"/>
        </w:rPr>
        <w:t>（公开属性：</w:t>
      </w:r>
      <w:r w:rsidR="001E47A3">
        <w:rPr>
          <w:rFonts w:ascii="仿宋_GB2312" w:hint="eastAsia"/>
        </w:rPr>
        <w:t>主动</w:t>
      </w:r>
      <w:r w:rsidRPr="00485A20">
        <w:rPr>
          <w:rFonts w:ascii="仿宋_GB2312" w:hint="eastAsia"/>
        </w:rPr>
        <w:t>公开）</w:t>
      </w: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1E47A3" w:rsidRDefault="001E47A3" w:rsidP="001E47A3">
      <w:pPr>
        <w:adjustRightInd w:val="0"/>
        <w:rPr>
          <w:rFonts w:ascii="仿宋_GB2312"/>
        </w:rPr>
      </w:pPr>
    </w:p>
    <w:p w:rsidR="00E77DE3" w:rsidRDefault="00E77DE3" w:rsidP="0004724F">
      <w:pPr>
        <w:adjustRightInd w:val="0"/>
        <w:rPr>
          <w:rFonts w:ascii="仿宋_GB2312"/>
        </w:rPr>
      </w:pPr>
    </w:p>
    <w:p w:rsidR="001E47A3" w:rsidRPr="001E47A3" w:rsidRDefault="001E47A3" w:rsidP="001E47A3">
      <w:pPr>
        <w:adjustRightInd w:val="0"/>
        <w:snapToGrid w:val="0"/>
        <w:jc w:val="center"/>
        <w:rPr>
          <w:rFonts w:ascii="方正小标宋简体" w:eastAsia="方正小标宋简体"/>
          <w:spacing w:val="20"/>
          <w:sz w:val="44"/>
          <w:szCs w:val="44"/>
        </w:rPr>
      </w:pPr>
      <w:r w:rsidRPr="001E47A3">
        <w:rPr>
          <w:rFonts w:ascii="方正小标宋简体" w:eastAsia="方正小标宋简体" w:hint="eastAsia"/>
          <w:spacing w:val="20"/>
          <w:sz w:val="44"/>
          <w:szCs w:val="44"/>
        </w:rPr>
        <w:t>自治区药品监管局落实“证照分离”改革</w:t>
      </w:r>
    </w:p>
    <w:p w:rsidR="001E47A3" w:rsidRPr="001E47A3" w:rsidRDefault="001E47A3" w:rsidP="001E47A3">
      <w:pPr>
        <w:adjustRightInd w:val="0"/>
        <w:snapToGrid w:val="0"/>
        <w:jc w:val="center"/>
        <w:rPr>
          <w:rFonts w:ascii="方正小标宋简体" w:eastAsia="方正小标宋简体"/>
          <w:spacing w:val="20"/>
          <w:sz w:val="44"/>
          <w:szCs w:val="44"/>
        </w:rPr>
      </w:pPr>
      <w:r w:rsidRPr="001E47A3">
        <w:rPr>
          <w:rFonts w:ascii="方正小标宋简体" w:eastAsia="方正小标宋简体" w:hint="eastAsia"/>
          <w:spacing w:val="20"/>
          <w:sz w:val="44"/>
          <w:szCs w:val="44"/>
        </w:rPr>
        <w:t>实施第二类医疗器械产品注册优化措施</w:t>
      </w:r>
    </w:p>
    <w:p w:rsidR="001E47A3" w:rsidRPr="001E47A3" w:rsidRDefault="001E47A3" w:rsidP="001E47A3">
      <w:pPr>
        <w:adjustRightInd w:val="0"/>
        <w:spacing w:line="500" w:lineRule="exact"/>
      </w:pPr>
    </w:p>
    <w:p w:rsidR="001E47A3" w:rsidRPr="001E47A3" w:rsidRDefault="001E47A3" w:rsidP="001E47A3">
      <w:pPr>
        <w:adjustRightInd w:val="0"/>
        <w:ind w:firstLineChars="200" w:firstLine="624"/>
      </w:pPr>
      <w:r w:rsidRPr="001E47A3">
        <w:rPr>
          <w:rFonts w:hint="eastAsia"/>
        </w:rPr>
        <w:t>根据自治区党委办公厅、自治区人民政府办公厅《自治区关于深化审评审批制度改革鼓励药品医疗器械创新的实施意见》的精神，为贯彻落实“证照分离”改革要求，进一步深化“放管服”改革优化准入服务要求，加快营造稳定公平透明可预期的营商环境，促进医疗器械技术创新，推动医疗器械高质量发展，对第二类医疗器械产品注册事项制定如下优化措施：</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一、加快创新和临床需要医疗器械上市准入</w:t>
      </w:r>
    </w:p>
    <w:p w:rsidR="001E47A3" w:rsidRPr="001E47A3" w:rsidRDefault="001E47A3" w:rsidP="001E47A3">
      <w:pPr>
        <w:adjustRightInd w:val="0"/>
        <w:ind w:firstLineChars="200" w:firstLine="624"/>
      </w:pPr>
      <w:r w:rsidRPr="001E47A3">
        <w:rPr>
          <w:rFonts w:hint="eastAsia"/>
        </w:rPr>
        <w:t>按照国家药品监督管理局《创新医疗器械特别审查程序》（国家药品监督管理局公告2018年第83号）、《医疗器械优先审批程序》（原国家食品药品监督管理总局公告2016年第168号）要求，为具有自主产权知识、国际国内领先的创新成果转化通过主动对接、提前介入、专业指导、全程服务等措施提供专业服务，提升企业申请质量，帮助更多的创新产品进入国家创新医疗器械特别审批程序。</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二、建立优先审评审批绿色通道</w:t>
      </w:r>
    </w:p>
    <w:p w:rsidR="001E47A3" w:rsidRPr="001E47A3" w:rsidRDefault="001E47A3" w:rsidP="001E47A3">
      <w:pPr>
        <w:adjustRightInd w:val="0"/>
        <w:ind w:firstLineChars="200" w:firstLine="624"/>
      </w:pPr>
      <w:r w:rsidRPr="001E47A3">
        <w:rPr>
          <w:rFonts w:hint="eastAsia"/>
        </w:rPr>
        <w:t>将拥有产品核心技术发明专利、具有重大临床价值的医疗器械，用于诊断、治疗儿童或老年人特有及多发疾病的第二类医疗器械，专用于儿童，且具有明显临床优势等医疗器械产品，纳入</w:t>
      </w:r>
      <w:r w:rsidRPr="001E47A3">
        <w:rPr>
          <w:rFonts w:hint="eastAsia"/>
        </w:rPr>
        <w:lastRenderedPageBreak/>
        <w:t>优先审查通道，申请人提出申请，说明进入创新通道的理由并附相关证明，经审查确认，符合条件的纳入创新通道，实施优先注册受理、优先安排技术审评、体系核查、检验检测、行政审批等，落实全程跟踪服务措施，给予加快审批和优先办理。</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三、提供技术咨询和沟通服务</w:t>
      </w:r>
    </w:p>
    <w:p w:rsidR="001E47A3" w:rsidRPr="001E47A3" w:rsidRDefault="001E47A3" w:rsidP="001E47A3">
      <w:pPr>
        <w:adjustRightInd w:val="0"/>
        <w:ind w:firstLineChars="200" w:firstLine="624"/>
      </w:pPr>
      <w:r w:rsidRPr="001E47A3">
        <w:rPr>
          <w:rFonts w:hint="eastAsia"/>
        </w:rPr>
        <w:t>开通咨询热线和网上咨询平台。鼓励申请人对进入创新通道的事项在研发、设计、建设阶段，提出预先服务指导申请。针对企业医疗器械注册前的法律法规、产品分类、注册检验、临床试验、体系核查等问题提供咨询，提前介入指导，全程跟踪服务。梳理技术审评中的常见共性问题，并定期发布答疑解惑，按体外诊断试剂、无源(如义齿类)产品等类别，分类制订相应产品技术要求、说明书模板，指导和规范资料申报。</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四、实施全程电子化办理</w:t>
      </w:r>
    </w:p>
    <w:p w:rsidR="001E47A3" w:rsidRPr="001E47A3" w:rsidRDefault="001E47A3" w:rsidP="001E47A3">
      <w:pPr>
        <w:adjustRightInd w:val="0"/>
        <w:ind w:firstLineChars="200" w:firstLine="624"/>
      </w:pPr>
      <w:r w:rsidRPr="001E47A3">
        <w:rPr>
          <w:rFonts w:hint="eastAsia"/>
        </w:rPr>
        <w:t>第二类医疗器械（含体外诊断试剂）注册实行全程网上办理。2019年7月30日，实施电子证书</w:t>
      </w:r>
      <w:r w:rsidRPr="001E47A3">
        <w:t>核发</w:t>
      </w:r>
      <w:r w:rsidRPr="001E47A3">
        <w:rPr>
          <w:rFonts w:hint="eastAsia"/>
        </w:rPr>
        <w:t>，开启“网上申请、网上受理、网上审评、网上审批、网上发证”的全程电子化模式。申请人可以在自治区药品行政许可服务平台自行下载电子证书。企业和相关方可以登陆自治区药品</w:t>
      </w:r>
      <w:r w:rsidRPr="001E47A3">
        <w:t>监督管理局</w:t>
      </w:r>
      <w:r w:rsidRPr="001E47A3">
        <w:rPr>
          <w:rFonts w:hint="eastAsia"/>
        </w:rPr>
        <w:t>网站，对电子证书进行查询核对和电子验签。</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五、精简审批材料</w:t>
      </w:r>
    </w:p>
    <w:p w:rsidR="001E47A3" w:rsidRPr="001E47A3" w:rsidRDefault="001E47A3" w:rsidP="001E47A3">
      <w:pPr>
        <w:adjustRightInd w:val="0"/>
        <w:ind w:firstLineChars="200" w:firstLine="624"/>
      </w:pPr>
      <w:r w:rsidRPr="001E47A3">
        <w:rPr>
          <w:rFonts w:hint="eastAsia"/>
        </w:rPr>
        <w:t>逐项梳理申请材料，与自治区政府数据共享平台加强数据对接和信息共享，推进完善审批系统，将营业执照、法定代表人或</w:t>
      </w:r>
      <w:r w:rsidRPr="001E47A3">
        <w:rPr>
          <w:rFonts w:hint="eastAsia"/>
        </w:rPr>
        <w:lastRenderedPageBreak/>
        <w:t>负责人身份证明等材料由申请人提交改为在线获取，不再要求申请人提交。</w:t>
      </w:r>
    </w:p>
    <w:p w:rsidR="001E47A3" w:rsidRPr="001E47A3" w:rsidRDefault="001E47A3" w:rsidP="001E47A3">
      <w:pPr>
        <w:adjustRightInd w:val="0"/>
        <w:ind w:firstLineChars="200" w:firstLine="624"/>
      </w:pPr>
      <w:r w:rsidRPr="001E47A3">
        <w:rPr>
          <w:rFonts w:hint="eastAsia"/>
        </w:rPr>
        <w:t>按照法律法规规章要求，推进简化已有同品种医疗器械临床评价资料，扩大在注册质量体系核查过程中可免于现场检查或可优化现场检查项目、流程的医疗器械范围，避免重复检查。</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六、加快审查速度压缩审批时限</w:t>
      </w:r>
    </w:p>
    <w:p w:rsidR="001E47A3" w:rsidRPr="001E47A3" w:rsidRDefault="001E47A3" w:rsidP="001E47A3">
      <w:pPr>
        <w:adjustRightInd w:val="0"/>
        <w:ind w:firstLineChars="200" w:firstLine="624"/>
      </w:pPr>
      <w:r w:rsidRPr="001E47A3">
        <w:rPr>
          <w:rFonts w:hint="eastAsia"/>
        </w:rPr>
        <w:t>实施并联审查，同步开展注册审评的体系核查、临床检查和资料审评，加快审查速度。对二年内通过同类产品注册质量体系现场核查，或一年内通过同类产品生产许可现场全项核查的首次注册申请项目，可减免注册现场核查；对二年内通过同类产品注册质量体系或生产许可现场体系核查，且变更事项不涉及生产工艺变化的变更注册申请项目，可减免注册现场核查；医疗器械注册体系核查确认（受托）生产企业符合医疗器械生产质量管理规范要求的，且生产许可时未发生变化的，不再开展生产许可现场核查。</w:t>
      </w:r>
    </w:p>
    <w:p w:rsidR="001E47A3" w:rsidRPr="001E47A3" w:rsidRDefault="001E47A3" w:rsidP="001E47A3">
      <w:pPr>
        <w:adjustRightInd w:val="0"/>
        <w:ind w:firstLineChars="200" w:firstLine="624"/>
      </w:pPr>
      <w:r w:rsidRPr="001E47A3">
        <w:rPr>
          <w:rFonts w:hint="eastAsia"/>
        </w:rPr>
        <w:t>第二类医疗器械产品注册审批时限由法定的30个工作日压缩为14个工作日。</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七、公开服务指南</w:t>
      </w:r>
    </w:p>
    <w:p w:rsidR="001E47A3" w:rsidRPr="001E47A3" w:rsidRDefault="001E47A3" w:rsidP="001E47A3">
      <w:pPr>
        <w:adjustRightInd w:val="0"/>
        <w:ind w:firstLineChars="200" w:firstLine="624"/>
      </w:pPr>
      <w:r w:rsidRPr="001E47A3">
        <w:rPr>
          <w:rFonts w:hint="eastAsia"/>
        </w:rPr>
        <w:t>根据法律法规规章制修订情况和改革要求，动态调整服务指南，及时更新政务服务中心窗口、部门网站和自治区政务服务网相关内容，公示审批流程、受理条件和办理标准。企业可以登录自治区政务服务网或自治区药品行政许可服务平台</w:t>
      </w:r>
      <w:r w:rsidRPr="001E47A3">
        <w:rPr>
          <w:rFonts w:hint="eastAsia"/>
        </w:rPr>
        <w:lastRenderedPageBreak/>
        <w:t>（http://www.xjda.gov.cn/）查询办理进度。</w:t>
      </w:r>
    </w:p>
    <w:p w:rsidR="001E47A3" w:rsidRPr="001E47A3" w:rsidRDefault="001E47A3" w:rsidP="001E47A3">
      <w:pPr>
        <w:adjustRightInd w:val="0"/>
        <w:ind w:firstLineChars="200" w:firstLine="624"/>
        <w:rPr>
          <w:rFonts w:ascii="黑体" w:eastAsia="黑体" w:hAnsi="黑体"/>
        </w:rPr>
      </w:pPr>
      <w:r w:rsidRPr="001E47A3">
        <w:rPr>
          <w:rFonts w:ascii="黑体" w:eastAsia="黑体" w:hAnsi="黑体" w:hint="eastAsia"/>
        </w:rPr>
        <w:t>八、加强事中事后监管</w:t>
      </w:r>
    </w:p>
    <w:p w:rsidR="001E47A3" w:rsidRPr="001E47A3" w:rsidRDefault="001E47A3" w:rsidP="001E47A3">
      <w:pPr>
        <w:adjustRightInd w:val="0"/>
        <w:ind w:firstLineChars="200" w:firstLine="624"/>
      </w:pPr>
      <w:r w:rsidRPr="001E47A3">
        <w:rPr>
          <w:rFonts w:hint="eastAsia"/>
        </w:rPr>
        <w:t>根据国家药监局的统一部署，推行有因检查和“双随机一公开”抽查，</w:t>
      </w:r>
      <w:r w:rsidRPr="001E47A3">
        <w:t>突出以问题为导向，防控风险为重点，</w:t>
      </w:r>
      <w:r w:rsidRPr="001E47A3">
        <w:rPr>
          <w:rFonts w:hint="eastAsia"/>
        </w:rPr>
        <w:t>自治区</w:t>
      </w:r>
      <w:r w:rsidRPr="001E47A3">
        <w:t>药监局</w:t>
      </w:r>
      <w:r w:rsidRPr="001E47A3">
        <w:rPr>
          <w:rFonts w:hint="eastAsia"/>
        </w:rPr>
        <w:t>组织组织地州（市）级市场监督管理（药品监管）部门开展辖区内医疗器械生产企业的监督检查。检查主要内容是医疗器械生产企业是否按照经注册或者备案的产品技术要求组织生产、医疗器械生产企业的质量管理体系是否保持有效运行、医疗器械生产企业的生产条件是否持续符合法定要求等。</w:t>
      </w:r>
    </w:p>
    <w:p w:rsidR="001E47A3" w:rsidRPr="001E47A3" w:rsidRDefault="001E47A3" w:rsidP="001E47A3">
      <w:pPr>
        <w:adjustRightInd w:val="0"/>
        <w:ind w:firstLineChars="200" w:firstLine="624"/>
      </w:pPr>
      <w:r w:rsidRPr="001E47A3">
        <w:rPr>
          <w:rFonts w:hint="eastAsia"/>
        </w:rPr>
        <w:t>各地市场监管（药品监管）部门对监督检查存在问题的企业开展跟踪复查，未按要求整改到位的不予通过检查或不予恢复生产；在检查中发现医疗器械生产企业的违法违规行为符合行政处罚立案条件的,按照行政处罚程序查处；涉嫌犯罪的,移交公安机关处理。</w:t>
      </w:r>
    </w:p>
    <w:p w:rsidR="001E47A3" w:rsidRDefault="001E47A3" w:rsidP="001E47A3">
      <w:pPr>
        <w:adjustRightInd w:val="0"/>
        <w:ind w:firstLineChars="200" w:firstLine="624"/>
      </w:pPr>
      <w:r w:rsidRPr="001E47A3">
        <w:rPr>
          <w:rFonts w:hint="eastAsia"/>
        </w:rPr>
        <w:t>按照信息公开工作要求，及时向社会公布监督检查结果、监督抽检结果以及被检查对象违法处理情况，发挥公众参与和媒体监督作用。</w:t>
      </w:r>
    </w:p>
    <w:p w:rsidR="001E47A3" w:rsidRPr="001E47A3" w:rsidRDefault="001E47A3" w:rsidP="001E47A3">
      <w:pPr>
        <w:adjustRightInd w:val="0"/>
      </w:pPr>
    </w:p>
    <w:p w:rsidR="001E47A3" w:rsidRPr="001E47A3" w:rsidRDefault="001E47A3" w:rsidP="001E47A3">
      <w:pPr>
        <w:adjustRightInd w:val="0"/>
      </w:pPr>
    </w:p>
    <w:p w:rsidR="001E47A3" w:rsidRPr="001E47A3" w:rsidRDefault="001E47A3" w:rsidP="001E47A3">
      <w:pPr>
        <w:adjustRightInd w:val="0"/>
      </w:pPr>
    </w:p>
    <w:p w:rsidR="001E47A3" w:rsidRPr="001E47A3" w:rsidRDefault="001E47A3" w:rsidP="001E47A3">
      <w:pPr>
        <w:adjustRightInd w:val="0"/>
      </w:pPr>
    </w:p>
    <w:p w:rsidR="001E47A3" w:rsidRPr="001E47A3" w:rsidRDefault="001E47A3" w:rsidP="001E47A3">
      <w:pPr>
        <w:adjustRightInd w:val="0"/>
      </w:pPr>
    </w:p>
    <w:p w:rsidR="001E47A3" w:rsidRPr="001E47A3" w:rsidRDefault="001E47A3" w:rsidP="001E47A3">
      <w:pPr>
        <w:adjustRightInd w:val="0"/>
      </w:pPr>
    </w:p>
    <w:p w:rsidR="00E62060" w:rsidRDefault="001E47A3" w:rsidP="001E47A3">
      <w:pPr>
        <w:adjustRightInd w:val="0"/>
        <w:snapToGrid w:val="0"/>
        <w:jc w:val="center"/>
        <w:rPr>
          <w:rFonts w:ascii="方正小标宋简体" w:eastAsia="方正小标宋简体"/>
          <w:spacing w:val="20"/>
          <w:sz w:val="44"/>
          <w:szCs w:val="44"/>
        </w:rPr>
      </w:pPr>
      <w:r w:rsidRPr="001E47A3">
        <w:rPr>
          <w:rFonts w:ascii="方正小标宋简体" w:eastAsia="方正小标宋简体" w:hint="eastAsia"/>
          <w:spacing w:val="20"/>
          <w:sz w:val="44"/>
          <w:szCs w:val="44"/>
        </w:rPr>
        <w:t>自治区</w:t>
      </w:r>
      <w:r w:rsidRPr="001E47A3">
        <w:rPr>
          <w:rFonts w:ascii="方正小标宋简体" w:eastAsia="方正小标宋简体"/>
          <w:spacing w:val="20"/>
          <w:sz w:val="44"/>
          <w:szCs w:val="44"/>
        </w:rPr>
        <w:t>第</w:t>
      </w:r>
      <w:r w:rsidRPr="001E47A3">
        <w:rPr>
          <w:rFonts w:ascii="方正小标宋简体" w:eastAsia="方正小标宋简体" w:hint="eastAsia"/>
          <w:spacing w:val="20"/>
          <w:sz w:val="44"/>
          <w:szCs w:val="44"/>
        </w:rPr>
        <w:t>二</w:t>
      </w:r>
      <w:r w:rsidRPr="001E47A3">
        <w:rPr>
          <w:rFonts w:ascii="方正小标宋简体" w:eastAsia="方正小标宋简体"/>
          <w:spacing w:val="20"/>
          <w:sz w:val="44"/>
          <w:szCs w:val="44"/>
        </w:rPr>
        <w:t>类医疗器械注册质量管理</w:t>
      </w:r>
    </w:p>
    <w:p w:rsidR="001E47A3" w:rsidRPr="001E47A3" w:rsidRDefault="001E47A3" w:rsidP="001E47A3">
      <w:pPr>
        <w:adjustRightInd w:val="0"/>
        <w:snapToGrid w:val="0"/>
        <w:jc w:val="center"/>
        <w:rPr>
          <w:rFonts w:ascii="方正小标宋简体" w:eastAsia="方正小标宋简体"/>
          <w:spacing w:val="20"/>
          <w:sz w:val="44"/>
          <w:szCs w:val="44"/>
        </w:rPr>
      </w:pPr>
      <w:r w:rsidRPr="001E47A3">
        <w:rPr>
          <w:rFonts w:ascii="方正小标宋简体" w:eastAsia="方正小标宋简体"/>
          <w:spacing w:val="20"/>
          <w:sz w:val="44"/>
          <w:szCs w:val="44"/>
        </w:rPr>
        <w:t>体系核查工作程序</w:t>
      </w:r>
    </w:p>
    <w:p w:rsidR="001E47A3" w:rsidRPr="001E47A3" w:rsidRDefault="001E47A3" w:rsidP="001E47A3">
      <w:pPr>
        <w:adjustRightInd w:val="0"/>
        <w:spacing w:line="500" w:lineRule="exact"/>
      </w:pPr>
    </w:p>
    <w:p w:rsidR="001E47A3" w:rsidRPr="001E47A3" w:rsidRDefault="001E47A3" w:rsidP="001E47A3">
      <w:pPr>
        <w:adjustRightInd w:val="0"/>
        <w:ind w:firstLineChars="200" w:firstLine="624"/>
      </w:pPr>
      <w:r w:rsidRPr="001E47A3">
        <w:rPr>
          <w:rFonts w:ascii="黑体" w:eastAsia="黑体" w:hAnsi="黑体" w:hint="eastAsia"/>
        </w:rPr>
        <w:t>第一条</w:t>
      </w:r>
      <w:r>
        <w:rPr>
          <w:rFonts w:hint="eastAsia"/>
        </w:rPr>
        <w:t xml:space="preserve">  </w:t>
      </w:r>
      <w:r w:rsidRPr="001E47A3">
        <w:rPr>
          <w:rFonts w:hint="eastAsia"/>
        </w:rPr>
        <w:t>为做好医疗器械注册质量管理体系核查工作，根据《医疗器械注册管理办法》（国家食品药品监督管理总局令第4号）、《体外诊断试剂注册管理办法》（国家食品药品监督管理总局令第5号）和《创新医疗器械特别审查程序》（国家药品监督管理局公告2018年第83号）等相关规定，参照《境内第三类医疗器械注册质量管理体系核查工作程序（暂行）》，制定本程序。</w:t>
      </w:r>
    </w:p>
    <w:p w:rsidR="001E47A3" w:rsidRPr="001E47A3" w:rsidRDefault="001E47A3" w:rsidP="001E47A3">
      <w:pPr>
        <w:adjustRightInd w:val="0"/>
        <w:ind w:firstLineChars="200" w:firstLine="624"/>
      </w:pPr>
      <w:r w:rsidRPr="001E47A3">
        <w:rPr>
          <w:rFonts w:ascii="黑体" w:eastAsia="黑体" w:hAnsi="黑体" w:hint="eastAsia"/>
        </w:rPr>
        <w:t>第二条</w:t>
      </w:r>
      <w:r>
        <w:rPr>
          <w:rFonts w:hint="eastAsia"/>
        </w:rPr>
        <w:t xml:space="preserve">  </w:t>
      </w:r>
      <w:r w:rsidRPr="001E47A3">
        <w:rPr>
          <w:rFonts w:hint="eastAsia"/>
        </w:rPr>
        <w:t>本程序适用于新疆维吾尔自治区范围内第二类医疗器械注册质量管理体系核查。</w:t>
      </w:r>
    </w:p>
    <w:p w:rsidR="001E47A3" w:rsidRPr="001E47A3" w:rsidRDefault="001E47A3" w:rsidP="001E47A3">
      <w:pPr>
        <w:adjustRightInd w:val="0"/>
        <w:ind w:firstLineChars="200" w:firstLine="624"/>
      </w:pPr>
      <w:r w:rsidRPr="001E47A3">
        <w:rPr>
          <w:rFonts w:ascii="黑体" w:eastAsia="黑体" w:hAnsi="黑体" w:hint="eastAsia"/>
        </w:rPr>
        <w:t>第三条</w:t>
      </w:r>
      <w:r>
        <w:rPr>
          <w:rFonts w:hint="eastAsia"/>
        </w:rPr>
        <w:t xml:space="preserve">  </w:t>
      </w:r>
      <w:r w:rsidRPr="001E47A3">
        <w:rPr>
          <w:rFonts w:hint="eastAsia"/>
        </w:rPr>
        <w:t>自治区药品监督管理局负责组织医疗器械注册核查机构（以下简称核查机构）开展辖区内第二类医疗器械注册质量管理体系核查工作。</w:t>
      </w:r>
    </w:p>
    <w:p w:rsidR="001E47A3" w:rsidRPr="001E47A3" w:rsidRDefault="001E47A3" w:rsidP="001E47A3">
      <w:pPr>
        <w:adjustRightInd w:val="0"/>
        <w:ind w:firstLineChars="200" w:firstLine="624"/>
      </w:pPr>
      <w:r w:rsidRPr="001E47A3">
        <w:rPr>
          <w:rFonts w:ascii="黑体" w:eastAsia="黑体" w:hAnsi="黑体" w:hint="eastAsia"/>
        </w:rPr>
        <w:t>第四条</w:t>
      </w:r>
      <w:r>
        <w:rPr>
          <w:rFonts w:hint="eastAsia"/>
        </w:rPr>
        <w:t xml:space="preserve">  </w:t>
      </w:r>
      <w:r w:rsidRPr="001E47A3">
        <w:rPr>
          <w:rFonts w:hint="eastAsia"/>
        </w:rPr>
        <w:t>对于纳入创新通道第二类医疗器械，自治区药品监督管理局应当指定专人，应申请人的要求及时沟通、提供指导。在收到申请人质量管理体系核查申请后，应当予以优先办理。</w:t>
      </w:r>
    </w:p>
    <w:p w:rsidR="001E47A3" w:rsidRPr="001E47A3" w:rsidRDefault="001E47A3" w:rsidP="001E47A3">
      <w:pPr>
        <w:adjustRightInd w:val="0"/>
        <w:ind w:firstLineChars="200" w:firstLine="624"/>
      </w:pPr>
      <w:r w:rsidRPr="001E47A3">
        <w:rPr>
          <w:rFonts w:ascii="黑体" w:eastAsia="黑体" w:hAnsi="黑体" w:hint="eastAsia"/>
        </w:rPr>
        <w:t>第五条</w:t>
      </w:r>
      <w:r>
        <w:rPr>
          <w:rFonts w:hint="eastAsia"/>
        </w:rPr>
        <w:t xml:space="preserve">  </w:t>
      </w:r>
      <w:r w:rsidRPr="001E47A3">
        <w:rPr>
          <w:rFonts w:hint="eastAsia"/>
        </w:rPr>
        <w:t>核查机构按照医疗器械生产质量管理规范以及相关附录的要求开展与产品研制、生产有关的质量管理体系核查。</w:t>
      </w:r>
    </w:p>
    <w:p w:rsidR="001E47A3" w:rsidRPr="001E47A3" w:rsidRDefault="001E47A3" w:rsidP="001E47A3">
      <w:pPr>
        <w:adjustRightInd w:val="0"/>
        <w:ind w:firstLineChars="200" w:firstLine="624"/>
      </w:pPr>
      <w:r w:rsidRPr="001E47A3">
        <w:rPr>
          <w:rFonts w:hint="eastAsia"/>
        </w:rPr>
        <w:t>在核查过程中，应当同时对企业注册检验样品和临床试验用样品的真实性进行核查。重点查阅设计和开发过程实施策划和控</w:t>
      </w:r>
      <w:r w:rsidRPr="001E47A3">
        <w:rPr>
          <w:rFonts w:hint="eastAsia"/>
        </w:rPr>
        <w:lastRenderedPageBreak/>
        <w:t>制的相关记录、用于样品生产的采购记录、生产记录、检验记录和留样观察记录等。</w:t>
      </w:r>
    </w:p>
    <w:p w:rsidR="001E47A3" w:rsidRPr="001E47A3" w:rsidRDefault="001E47A3" w:rsidP="001E47A3">
      <w:pPr>
        <w:adjustRightInd w:val="0"/>
        <w:ind w:firstLineChars="200" w:firstLine="624"/>
      </w:pPr>
      <w:r w:rsidRPr="001E47A3">
        <w:rPr>
          <w:rFonts w:ascii="黑体" w:eastAsia="黑体" w:hAnsi="黑体" w:hint="eastAsia"/>
        </w:rPr>
        <w:t>第六条</w:t>
      </w:r>
      <w:r>
        <w:rPr>
          <w:rFonts w:hint="eastAsia"/>
        </w:rPr>
        <w:t xml:space="preserve">  </w:t>
      </w:r>
      <w:r w:rsidRPr="001E47A3">
        <w:rPr>
          <w:rFonts w:hint="eastAsia"/>
        </w:rPr>
        <w:t>核查机构对注册申请人提交的申报资料进行资料审查，根据企业的具体情况、监督检查的情况、本次申请注册产品与既往已通过核查产品生产条件及工艺对比情况，酌情安排现场检查的内容，避免重复检查。</w:t>
      </w:r>
    </w:p>
    <w:p w:rsidR="001E47A3" w:rsidRPr="001E47A3" w:rsidRDefault="001E47A3" w:rsidP="001E47A3">
      <w:pPr>
        <w:adjustRightInd w:val="0"/>
        <w:ind w:firstLineChars="200" w:firstLine="624"/>
      </w:pPr>
      <w:r w:rsidRPr="001E47A3">
        <w:rPr>
          <w:rFonts w:hint="eastAsia"/>
        </w:rPr>
        <w:t>产品具有相同工作原理、预期用途，并且具有基本相同的结构组成、生产条件、生产工艺的，现场检查时，可仅对企业注册检验样品和临床试验用样品的真实性进行核查，重点查阅设计和开发过程实施策划和控制的相关记录、用于样品生产的采购记录、生产记录、检验记录和留样观察记录等。</w:t>
      </w:r>
    </w:p>
    <w:p w:rsidR="001E47A3" w:rsidRPr="001E47A3" w:rsidRDefault="001E47A3" w:rsidP="001E47A3">
      <w:pPr>
        <w:adjustRightInd w:val="0"/>
        <w:ind w:firstLineChars="200" w:firstLine="624"/>
      </w:pPr>
      <w:r w:rsidRPr="001E47A3">
        <w:rPr>
          <w:rFonts w:hint="eastAsia"/>
        </w:rPr>
        <w:t>对二年内通过同类产品注册质量体系现场核查，或一年内通过同类产品生产许可现场全项核查的首次注册申请项目，可减免注册现场核查；对二年内通过同类产品注册质量体系或生产许可现场体系核查，且变更事项不涉及生产工艺变化的变更注册申请项目，可减免注册现场核查；对通过医疗器械注册体系核查，确认生产企业符合医疗器械生产质量管理规范要求，且生产许可时未发生变化的，不再开展生产许可现场核查。</w:t>
      </w:r>
    </w:p>
    <w:p w:rsidR="001E47A3" w:rsidRPr="001E47A3" w:rsidRDefault="001E47A3" w:rsidP="001E47A3">
      <w:pPr>
        <w:adjustRightInd w:val="0"/>
        <w:ind w:firstLineChars="200" w:firstLine="624"/>
      </w:pPr>
      <w:r w:rsidRPr="001E47A3">
        <w:rPr>
          <w:rFonts w:hint="eastAsia"/>
        </w:rPr>
        <w:t>第二类医疗器械注册技术审评、质量管理体系现场核查、临床核查同步并联进行。</w:t>
      </w:r>
    </w:p>
    <w:p w:rsidR="001E47A3" w:rsidRPr="001E47A3" w:rsidRDefault="001E47A3" w:rsidP="001E47A3">
      <w:pPr>
        <w:adjustRightInd w:val="0"/>
        <w:ind w:firstLineChars="200" w:firstLine="624"/>
      </w:pPr>
      <w:r w:rsidRPr="001E47A3">
        <w:rPr>
          <w:rFonts w:ascii="黑体" w:eastAsia="黑体" w:hAnsi="黑体" w:hint="eastAsia"/>
        </w:rPr>
        <w:t>第七条</w:t>
      </w:r>
      <w:r>
        <w:rPr>
          <w:rFonts w:hint="eastAsia"/>
        </w:rPr>
        <w:t xml:space="preserve">  </w:t>
      </w:r>
      <w:r w:rsidRPr="001E47A3">
        <w:rPr>
          <w:rFonts w:hint="eastAsia"/>
        </w:rPr>
        <w:t>对注册申请人提交的申报资料符合要求的，核查机构应当自收到申报资料起30个工作日内完成质量管理体系核查</w:t>
      </w:r>
      <w:r w:rsidRPr="001E47A3">
        <w:rPr>
          <w:rFonts w:hint="eastAsia"/>
        </w:rPr>
        <w:lastRenderedPageBreak/>
        <w:t>工作。</w:t>
      </w:r>
    </w:p>
    <w:p w:rsidR="001E47A3" w:rsidRPr="001E47A3" w:rsidRDefault="001E47A3" w:rsidP="001E47A3">
      <w:pPr>
        <w:adjustRightInd w:val="0"/>
        <w:ind w:firstLineChars="200" w:firstLine="624"/>
      </w:pPr>
      <w:r w:rsidRPr="001E47A3">
        <w:rPr>
          <w:rFonts w:ascii="黑体" w:eastAsia="黑体" w:hAnsi="黑体" w:hint="eastAsia"/>
        </w:rPr>
        <w:t>第八条</w:t>
      </w:r>
      <w:r>
        <w:rPr>
          <w:rFonts w:hint="eastAsia"/>
        </w:rPr>
        <w:t xml:space="preserve">  </w:t>
      </w:r>
      <w:r w:rsidRPr="001E47A3">
        <w:rPr>
          <w:rFonts w:hint="eastAsia"/>
        </w:rPr>
        <w:t>检查组实施现场检查前应当制定现场检查方案。现场检查方案内容包括：企业基本情况、检查品种、检查目的、检查依据、现场检查时间、日程安排、检查项目、检查组成员及分工等。现场检查时间一般为1至3天，如3天仍不能完成检查的可适当延长时间。</w:t>
      </w:r>
    </w:p>
    <w:p w:rsidR="001E47A3" w:rsidRPr="001E47A3" w:rsidRDefault="001E47A3" w:rsidP="001E47A3">
      <w:pPr>
        <w:adjustRightInd w:val="0"/>
        <w:ind w:firstLineChars="200" w:firstLine="624"/>
      </w:pPr>
      <w:r w:rsidRPr="001E47A3">
        <w:rPr>
          <w:rFonts w:hint="eastAsia"/>
        </w:rPr>
        <w:t>检查组应当由2名以上（含2名）检查员组成，企业所在的地（州、市）市场监督管理局可派1名观察员参加现场检查。必要时，核查机构可邀请有关专家参加现场检查。</w:t>
      </w:r>
    </w:p>
    <w:p w:rsidR="001E47A3" w:rsidRPr="001E47A3" w:rsidRDefault="001E47A3" w:rsidP="001E47A3">
      <w:pPr>
        <w:adjustRightInd w:val="0"/>
        <w:ind w:firstLineChars="200" w:firstLine="624"/>
      </w:pPr>
      <w:r w:rsidRPr="001E47A3">
        <w:rPr>
          <w:rFonts w:ascii="黑体" w:eastAsia="黑体" w:hAnsi="黑体" w:hint="eastAsia"/>
        </w:rPr>
        <w:t>第九条</w:t>
      </w:r>
      <w:r>
        <w:rPr>
          <w:rFonts w:hint="eastAsia"/>
        </w:rPr>
        <w:t xml:space="preserve">  </w:t>
      </w:r>
      <w:r w:rsidRPr="001E47A3">
        <w:rPr>
          <w:rFonts w:hint="eastAsia"/>
        </w:rPr>
        <w:t>现场检查实行检查组长负责制。检查组长负责组织召开现场检查首次会议、末次会议以及检查组内部会议，负责现场检查资料汇总，审定现场检查结论。</w:t>
      </w:r>
    </w:p>
    <w:p w:rsidR="001E47A3" w:rsidRPr="001E47A3" w:rsidRDefault="001E47A3" w:rsidP="001E47A3">
      <w:pPr>
        <w:adjustRightInd w:val="0"/>
        <w:ind w:firstLineChars="200" w:firstLine="624"/>
      </w:pPr>
      <w:r w:rsidRPr="001E47A3">
        <w:rPr>
          <w:rFonts w:ascii="黑体" w:eastAsia="黑体" w:hAnsi="黑体" w:hint="eastAsia"/>
        </w:rPr>
        <w:t>第十条</w:t>
      </w:r>
      <w:r>
        <w:rPr>
          <w:rFonts w:hint="eastAsia"/>
        </w:rPr>
        <w:t xml:space="preserve">  </w:t>
      </w:r>
      <w:r w:rsidRPr="001E47A3">
        <w:rPr>
          <w:rFonts w:hint="eastAsia"/>
        </w:rPr>
        <w:t>现场检查开始时，应当召开首次会议。首次会议应当由检查组成员、观察员、企业负责人和相关人员参加。内容包括确认检查范围、落实检查日程、宣布检查纪律和注意事项、确定企业联络人员等。</w:t>
      </w:r>
    </w:p>
    <w:p w:rsidR="001E47A3" w:rsidRPr="001E47A3" w:rsidRDefault="001E47A3" w:rsidP="001E47A3">
      <w:pPr>
        <w:adjustRightInd w:val="0"/>
        <w:ind w:firstLineChars="200" w:firstLine="624"/>
      </w:pPr>
      <w:r w:rsidRPr="001E47A3">
        <w:rPr>
          <w:rFonts w:ascii="黑体" w:eastAsia="黑体" w:hAnsi="黑体" w:hint="eastAsia"/>
        </w:rPr>
        <w:t>第十一条</w:t>
      </w:r>
      <w:r>
        <w:rPr>
          <w:rFonts w:hint="eastAsia"/>
        </w:rPr>
        <w:t xml:space="preserve">  </w:t>
      </w:r>
      <w:r w:rsidRPr="001E47A3">
        <w:rPr>
          <w:rFonts w:hint="eastAsia"/>
        </w:rPr>
        <w:t>检查员应当按照检查方案进行检查，对检查发现的问题如实记录。</w:t>
      </w:r>
    </w:p>
    <w:p w:rsidR="001E47A3" w:rsidRPr="001E47A3" w:rsidRDefault="001E47A3" w:rsidP="001E47A3">
      <w:pPr>
        <w:adjustRightInd w:val="0"/>
        <w:ind w:firstLineChars="200" w:firstLine="624"/>
      </w:pPr>
      <w:r w:rsidRPr="001E47A3">
        <w:rPr>
          <w:rFonts w:ascii="黑体" w:eastAsia="黑体" w:hAnsi="黑体" w:hint="eastAsia"/>
        </w:rPr>
        <w:t>第十二条</w:t>
      </w:r>
      <w:r>
        <w:rPr>
          <w:rFonts w:hint="eastAsia"/>
        </w:rPr>
        <w:t xml:space="preserve">  </w:t>
      </w:r>
      <w:r w:rsidRPr="001E47A3">
        <w:rPr>
          <w:rFonts w:hint="eastAsia"/>
        </w:rPr>
        <w:t>在现场检查期间，检查组应当召开内部会议，交流检查情况，对疑难问题进行研究并提出处理意见，必要时应予取证。检查结束前，检查组应当召开内部会议，进行汇总、评定，并如实记录。检查组内部会议期间，企业人员应当回避。</w:t>
      </w:r>
    </w:p>
    <w:p w:rsidR="001E47A3" w:rsidRPr="001E47A3" w:rsidRDefault="001E47A3" w:rsidP="001E47A3">
      <w:pPr>
        <w:adjustRightInd w:val="0"/>
        <w:ind w:firstLineChars="200" w:firstLine="624"/>
      </w:pPr>
      <w:r w:rsidRPr="001E47A3">
        <w:rPr>
          <w:rFonts w:ascii="黑体" w:eastAsia="黑体" w:hAnsi="黑体" w:hint="eastAsia"/>
        </w:rPr>
        <w:lastRenderedPageBreak/>
        <w:t>第十三条</w:t>
      </w:r>
      <w:r>
        <w:rPr>
          <w:rFonts w:hint="eastAsia"/>
        </w:rPr>
        <w:t xml:space="preserve">  </w:t>
      </w:r>
      <w:r w:rsidRPr="001E47A3">
        <w:rPr>
          <w:rFonts w:hint="eastAsia"/>
        </w:rPr>
        <w:t>现场检查结束时，应当召开末次会议。末次会议应当由检查组成员、观察员、企业负责人和相关人员参加。内容包括检查组向企业通报现场检查情况，企业对现场检查情况进行确认。对于检查中发现的问题有异议的，企业应当提供书面说明。</w:t>
      </w:r>
    </w:p>
    <w:p w:rsidR="001E47A3" w:rsidRPr="001E47A3" w:rsidRDefault="001E47A3" w:rsidP="001E47A3">
      <w:pPr>
        <w:adjustRightInd w:val="0"/>
        <w:ind w:firstLineChars="200" w:firstLine="624"/>
      </w:pPr>
      <w:r w:rsidRPr="001E47A3">
        <w:rPr>
          <w:rFonts w:ascii="黑体" w:eastAsia="黑体" w:hAnsi="黑体" w:hint="eastAsia"/>
        </w:rPr>
        <w:t>第十四条</w:t>
      </w:r>
      <w:r>
        <w:rPr>
          <w:rFonts w:hint="eastAsia"/>
        </w:rPr>
        <w:t xml:space="preserve">  </w:t>
      </w:r>
      <w:r w:rsidRPr="001E47A3">
        <w:rPr>
          <w:rFonts w:hint="eastAsia"/>
        </w:rPr>
        <w:t>检查组对现场检查出具建议结论，建议结论分为“通过检查”“整改后复查”“未通过检查”三种情况。</w:t>
      </w:r>
    </w:p>
    <w:p w:rsidR="001E47A3" w:rsidRPr="001E47A3" w:rsidRDefault="001E47A3" w:rsidP="001E47A3">
      <w:pPr>
        <w:adjustRightInd w:val="0"/>
        <w:ind w:firstLineChars="200" w:firstLine="624"/>
      </w:pPr>
      <w:r w:rsidRPr="001E47A3">
        <w:rPr>
          <w:rFonts w:ascii="黑体" w:eastAsia="黑体" w:hAnsi="黑体" w:hint="eastAsia"/>
        </w:rPr>
        <w:t>第十五条</w:t>
      </w:r>
      <w:r>
        <w:rPr>
          <w:rFonts w:hint="eastAsia"/>
        </w:rPr>
        <w:t xml:space="preserve">  </w:t>
      </w:r>
      <w:r w:rsidRPr="001E47A3">
        <w:rPr>
          <w:rFonts w:hint="eastAsia"/>
        </w:rPr>
        <w:t>核查机构应当对检查组提交的现场检查资料进行审核，提出核查结论，核查结论为“通过核查”</w:t>
      </w:r>
      <w:r>
        <w:rPr>
          <w:rFonts w:hint="eastAsia"/>
        </w:rPr>
        <w:t>“整改后复查”</w:t>
      </w:r>
      <w:r w:rsidRPr="001E47A3">
        <w:rPr>
          <w:rFonts w:hint="eastAsia"/>
        </w:rPr>
        <w:t>“未通过核查”三种情况。</w:t>
      </w:r>
    </w:p>
    <w:p w:rsidR="001E47A3" w:rsidRPr="001E47A3" w:rsidRDefault="001E47A3" w:rsidP="001E47A3">
      <w:pPr>
        <w:adjustRightInd w:val="0"/>
        <w:ind w:firstLineChars="200" w:firstLine="624"/>
      </w:pPr>
      <w:r w:rsidRPr="001E47A3">
        <w:rPr>
          <w:rFonts w:ascii="黑体" w:eastAsia="黑体" w:hAnsi="黑体" w:hint="eastAsia"/>
        </w:rPr>
        <w:t>第十六条</w:t>
      </w:r>
      <w:r w:rsidRPr="001E47A3">
        <w:rPr>
          <w:rFonts w:hint="eastAsia"/>
        </w:rPr>
        <w:t xml:space="preserve">　整改后复查的，企业应当在6个月内一次性向核查机构提交复查申请及整改报告。核查机构应当在收到复查申请后30个工作日内完成复查。</w:t>
      </w:r>
    </w:p>
    <w:p w:rsidR="001E47A3" w:rsidRPr="001E47A3" w:rsidRDefault="001E47A3" w:rsidP="001E47A3">
      <w:pPr>
        <w:adjustRightInd w:val="0"/>
        <w:ind w:firstLineChars="200" w:firstLine="624"/>
      </w:pPr>
      <w:r w:rsidRPr="001E47A3">
        <w:rPr>
          <w:rFonts w:hint="eastAsia"/>
        </w:rPr>
        <w:t>未在规定期限内提交复查申请和整改报告的，以及整改复查后仍达不到“通过核查”要求的，核查结论为“整改后未通过核查”。整改后通过核查的，核查结论为“整改后通过核查”。</w:t>
      </w:r>
    </w:p>
    <w:p w:rsidR="001E47A3" w:rsidRPr="001E47A3" w:rsidRDefault="001E47A3" w:rsidP="001E47A3">
      <w:pPr>
        <w:adjustRightInd w:val="0"/>
        <w:ind w:firstLineChars="200" w:firstLine="624"/>
      </w:pPr>
      <w:r w:rsidRPr="001E47A3">
        <w:rPr>
          <w:rFonts w:ascii="黑体" w:eastAsia="黑体" w:hAnsi="黑体" w:hint="eastAsia"/>
        </w:rPr>
        <w:t>第十七条</w:t>
      </w:r>
      <w:r>
        <w:rPr>
          <w:rFonts w:hint="eastAsia"/>
        </w:rPr>
        <w:t xml:space="preserve">  </w:t>
      </w:r>
      <w:r w:rsidRPr="001E47A3">
        <w:rPr>
          <w:rFonts w:hint="eastAsia"/>
        </w:rPr>
        <w:t>未通过核查的，技术审评机构提出不予注册的审评意见，自治区药品监督管理局作出不予注册的决定。</w:t>
      </w:r>
    </w:p>
    <w:p w:rsidR="001E47A3" w:rsidRPr="001E47A3" w:rsidRDefault="001E47A3" w:rsidP="001E47A3">
      <w:pPr>
        <w:adjustRightInd w:val="0"/>
        <w:ind w:firstLineChars="200" w:firstLine="624"/>
      </w:pPr>
      <w:r w:rsidRPr="001E47A3">
        <w:rPr>
          <w:rFonts w:ascii="黑体" w:eastAsia="黑体" w:hAnsi="黑体" w:hint="eastAsia"/>
        </w:rPr>
        <w:t>第十八条</w:t>
      </w:r>
      <w:r>
        <w:rPr>
          <w:rFonts w:hint="eastAsia"/>
        </w:rPr>
        <w:t xml:space="preserve">  </w:t>
      </w:r>
      <w:r w:rsidRPr="001E47A3">
        <w:rPr>
          <w:rFonts w:hint="eastAsia"/>
        </w:rPr>
        <w:t>本程序自公布之日起施行。</w:t>
      </w:r>
    </w:p>
    <w:p w:rsidR="001E47A3" w:rsidRDefault="001E47A3" w:rsidP="001E47A3">
      <w:pPr>
        <w:adjustRightInd w:val="0"/>
        <w:sectPr w:rsidR="001E47A3" w:rsidSect="00F751E2">
          <w:footerReference w:type="even" r:id="rId8"/>
          <w:footerReference w:type="default" r:id="rId9"/>
          <w:type w:val="continuous"/>
          <w:pgSz w:w="11906" w:h="16838" w:code="9"/>
          <w:pgMar w:top="2098" w:right="1531" w:bottom="1985" w:left="1531" w:header="851" w:footer="1531" w:gutter="0"/>
          <w:cols w:space="425"/>
          <w:docGrid w:type="linesAndChars" w:linePitch="577" w:charSpace="-1683"/>
        </w:sectPr>
      </w:pPr>
    </w:p>
    <w:p w:rsidR="00E77DE3" w:rsidRPr="001E47A3" w:rsidRDefault="00E77DE3" w:rsidP="001E47A3">
      <w:pPr>
        <w:adjustRightInd w:val="0"/>
      </w:pPr>
    </w:p>
    <w:p w:rsidR="00E77DE3" w:rsidRPr="001E47A3" w:rsidRDefault="00E77DE3" w:rsidP="001E47A3">
      <w:pPr>
        <w:adjustRightInd w:val="0"/>
        <w:ind w:firstLineChars="200" w:firstLine="624"/>
      </w:pPr>
    </w:p>
    <w:p w:rsidR="00E77DE3" w:rsidRPr="001E47A3" w:rsidRDefault="00E77DE3" w:rsidP="001E47A3">
      <w:pPr>
        <w:adjustRightInd w:val="0"/>
        <w:ind w:firstLineChars="200" w:firstLine="624"/>
      </w:pPr>
    </w:p>
    <w:p w:rsidR="0004724F" w:rsidRDefault="0004724F"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Default="001E47A3" w:rsidP="001E47A3">
      <w:pPr>
        <w:adjustRightInd w:val="0"/>
      </w:pPr>
    </w:p>
    <w:p w:rsidR="001E47A3" w:rsidRPr="001E47A3" w:rsidRDefault="001E47A3" w:rsidP="001E47A3">
      <w:pPr>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7"/>
      </w:tblGrid>
      <w:tr w:rsidR="00464C6A" w:rsidRPr="00485A20" w:rsidTr="0071407C">
        <w:trPr>
          <w:trHeight w:val="737"/>
          <w:jc w:val="center"/>
        </w:trPr>
        <w:tc>
          <w:tcPr>
            <w:tcW w:w="8787" w:type="dxa"/>
            <w:tcBorders>
              <w:top w:val="single" w:sz="8" w:space="0" w:color="auto"/>
              <w:left w:val="nil"/>
              <w:bottom w:val="single" w:sz="4" w:space="0" w:color="auto"/>
              <w:right w:val="nil"/>
            </w:tcBorders>
            <w:vAlign w:val="center"/>
          </w:tcPr>
          <w:p w:rsidR="00464C6A" w:rsidRPr="00485A20" w:rsidRDefault="00464C6A" w:rsidP="0004724F">
            <w:pPr>
              <w:adjustRightInd w:val="0"/>
              <w:snapToGrid w:val="0"/>
              <w:ind w:rightChars="50" w:right="156" w:firstLineChars="50" w:firstLine="136"/>
              <w:rPr>
                <w:sz w:val="28"/>
                <w:szCs w:val="28"/>
              </w:rPr>
            </w:pPr>
            <w:r w:rsidRPr="00485A20">
              <w:rPr>
                <w:sz w:val="28"/>
                <w:szCs w:val="28"/>
              </w:rPr>
              <w:t>抄送：</w:t>
            </w:r>
            <w:r w:rsidR="001E47A3">
              <w:rPr>
                <w:rFonts w:hint="eastAsia"/>
                <w:sz w:val="28"/>
                <w:szCs w:val="28"/>
              </w:rPr>
              <w:t>本局领导，机关各处室（局）、直属事业单位。</w:t>
            </w:r>
            <w:r w:rsidRPr="00485A20">
              <w:rPr>
                <w:sz w:val="28"/>
                <w:szCs w:val="28"/>
              </w:rPr>
              <w:t>存档（2）</w:t>
            </w:r>
          </w:p>
        </w:tc>
      </w:tr>
      <w:tr w:rsidR="00464C6A" w:rsidRPr="00485A20" w:rsidTr="0071407C">
        <w:trPr>
          <w:trHeight w:val="737"/>
          <w:jc w:val="center"/>
        </w:trPr>
        <w:tc>
          <w:tcPr>
            <w:tcW w:w="8787" w:type="dxa"/>
            <w:tcBorders>
              <w:top w:val="single" w:sz="4" w:space="0" w:color="auto"/>
              <w:left w:val="nil"/>
              <w:bottom w:val="single" w:sz="8" w:space="0" w:color="auto"/>
              <w:right w:val="nil"/>
            </w:tcBorders>
            <w:vAlign w:val="center"/>
          </w:tcPr>
          <w:p w:rsidR="00464C6A" w:rsidRPr="00485A20" w:rsidRDefault="00464C6A" w:rsidP="001E47A3">
            <w:pPr>
              <w:adjustRightInd w:val="0"/>
              <w:snapToGrid w:val="0"/>
              <w:ind w:rightChars="50" w:right="156" w:firstLineChars="50" w:firstLine="132"/>
              <w:rPr>
                <w:sz w:val="28"/>
                <w:szCs w:val="28"/>
              </w:rPr>
            </w:pPr>
            <w:r w:rsidRPr="00485A20">
              <w:rPr>
                <w:spacing w:val="-4"/>
                <w:sz w:val="28"/>
                <w:szCs w:val="28"/>
              </w:rPr>
              <w:t>新疆维吾尔自治区药品监督管理局</w:t>
            </w:r>
            <w:r w:rsidR="00F978FF">
              <w:rPr>
                <w:rFonts w:hint="eastAsia"/>
                <w:spacing w:val="-4"/>
                <w:sz w:val="28"/>
                <w:szCs w:val="28"/>
              </w:rPr>
              <w:t>综合</w:t>
            </w:r>
            <w:r w:rsidRPr="00485A20">
              <w:rPr>
                <w:spacing w:val="-4"/>
                <w:sz w:val="28"/>
                <w:szCs w:val="28"/>
              </w:rPr>
              <w:t>办公室</w:t>
            </w:r>
            <w:r w:rsidRPr="00485A20">
              <w:rPr>
                <w:rFonts w:hint="eastAsia"/>
                <w:spacing w:val="-4"/>
                <w:sz w:val="28"/>
                <w:szCs w:val="28"/>
              </w:rPr>
              <w:t xml:space="preserve"> </w:t>
            </w:r>
            <w:r w:rsidR="001E47A3">
              <w:rPr>
                <w:rFonts w:hint="eastAsia"/>
                <w:spacing w:val="-4"/>
                <w:sz w:val="28"/>
                <w:szCs w:val="28"/>
              </w:rPr>
              <w:t xml:space="preserve"> </w:t>
            </w:r>
            <w:r w:rsidRPr="00485A20">
              <w:rPr>
                <w:rFonts w:hint="eastAsia"/>
                <w:spacing w:val="-4"/>
                <w:sz w:val="28"/>
                <w:szCs w:val="28"/>
              </w:rPr>
              <w:t xml:space="preserve">  </w:t>
            </w:r>
            <w:r w:rsidR="001E47A3">
              <w:rPr>
                <w:rFonts w:hint="eastAsia"/>
                <w:spacing w:val="-4"/>
                <w:sz w:val="28"/>
                <w:szCs w:val="28"/>
              </w:rPr>
              <w:t>2019年3月1日</w:t>
            </w:r>
            <w:r w:rsidRPr="00485A20">
              <w:rPr>
                <w:spacing w:val="-4"/>
                <w:sz w:val="28"/>
                <w:szCs w:val="28"/>
              </w:rPr>
              <w:t>印发</w:t>
            </w:r>
          </w:p>
        </w:tc>
      </w:tr>
      <w:bookmarkEnd w:id="0"/>
    </w:tbl>
    <w:p w:rsidR="002C5D2D" w:rsidRPr="00485A20" w:rsidRDefault="002C5D2D" w:rsidP="00464C6A">
      <w:pPr>
        <w:adjustRightInd w:val="0"/>
        <w:snapToGrid w:val="0"/>
        <w:spacing w:line="100" w:lineRule="exact"/>
        <w:rPr>
          <w:sz w:val="21"/>
          <w:szCs w:val="21"/>
        </w:rPr>
      </w:pPr>
    </w:p>
    <w:sectPr w:rsidR="002C5D2D" w:rsidRPr="00485A20" w:rsidSect="00F751E2">
      <w:footerReference w:type="even" r:id="rId10"/>
      <w:footerReference w:type="default" r:id="rId11"/>
      <w:type w:val="continuous"/>
      <w:pgSz w:w="11906" w:h="16838" w:code="9"/>
      <w:pgMar w:top="2098" w:right="1531" w:bottom="1985" w:left="1531" w:header="851" w:footer="1531" w:gutter="0"/>
      <w:cols w:space="425"/>
      <w:docGrid w:type="linesAndChars" w:linePitch="577"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3B" w:rsidRDefault="0096703B">
      <w:r>
        <w:separator/>
      </w:r>
    </w:p>
  </w:endnote>
  <w:endnote w:type="continuationSeparator" w:id="0">
    <w:p w:rsidR="0096703B" w:rsidRDefault="0096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大标宋简体">
    <w:altName w:val="Arial Unicode MS"/>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7C" w:rsidRPr="00F751E2" w:rsidRDefault="0071407C" w:rsidP="00124E49">
    <w:pPr>
      <w:tabs>
        <w:tab w:val="center" w:pos="4153"/>
        <w:tab w:val="right" w:pos="8306"/>
      </w:tabs>
      <w:adjustRightInd w:val="0"/>
      <w:snapToGrid w:val="0"/>
      <w:ind w:leftChars="100" w:left="320"/>
      <w:jc w:val="lef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6E7587">
      <w:rPr>
        <w:rFonts w:ascii="宋体" w:eastAsia="宋体" w:hAnsi="宋体"/>
        <w:noProof/>
        <w:kern w:val="0"/>
        <w:sz w:val="28"/>
        <w:szCs w:val="21"/>
      </w:rPr>
      <w:t>10</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7C" w:rsidRPr="00F751E2" w:rsidRDefault="0071407C" w:rsidP="00124E49">
    <w:pPr>
      <w:tabs>
        <w:tab w:val="center" w:pos="4153"/>
        <w:tab w:val="right" w:pos="8306"/>
      </w:tabs>
      <w:adjustRightInd w:val="0"/>
      <w:snapToGrid w:val="0"/>
      <w:ind w:rightChars="100" w:right="320"/>
      <w:jc w:val="right"/>
    </w:pPr>
    <w:r>
      <w:rPr>
        <w:rFonts w:ascii="宋体" w:eastAsia="宋体" w:hAnsi="宋体" w:hint="eastAsia"/>
        <w:kern w:val="0"/>
        <w:sz w:val="28"/>
        <w:szCs w:val="21"/>
      </w:rPr>
      <w:t>—</w:t>
    </w:r>
    <w:r>
      <w:rPr>
        <w:rFonts w:ascii="宋体" w:eastAsia="宋体" w:hAnsi="宋体"/>
        <w:kern w:val="0"/>
        <w:sz w:val="28"/>
        <w:szCs w:val="21"/>
      </w:rPr>
      <w:t xml:space="preserve"> </w:t>
    </w:r>
    <w:r>
      <w:rPr>
        <w:rFonts w:ascii="宋体" w:eastAsia="宋体" w:hAnsi="宋体"/>
        <w:kern w:val="0"/>
        <w:sz w:val="28"/>
        <w:szCs w:val="21"/>
      </w:rPr>
      <w:fldChar w:fldCharType="begin"/>
    </w:r>
    <w:r>
      <w:rPr>
        <w:rFonts w:ascii="宋体" w:eastAsia="宋体" w:hAnsi="宋体"/>
        <w:kern w:val="0"/>
        <w:sz w:val="28"/>
        <w:szCs w:val="21"/>
      </w:rPr>
      <w:instrText xml:space="preserve"> PAGE </w:instrText>
    </w:r>
    <w:r>
      <w:rPr>
        <w:rFonts w:ascii="宋体" w:eastAsia="宋体" w:hAnsi="宋体"/>
        <w:kern w:val="0"/>
        <w:sz w:val="28"/>
        <w:szCs w:val="21"/>
      </w:rPr>
      <w:fldChar w:fldCharType="separate"/>
    </w:r>
    <w:r w:rsidR="006E7587">
      <w:rPr>
        <w:rFonts w:ascii="宋体" w:eastAsia="宋体" w:hAnsi="宋体"/>
        <w:noProof/>
        <w:kern w:val="0"/>
        <w:sz w:val="28"/>
        <w:szCs w:val="21"/>
      </w:rPr>
      <w:t>1</w:t>
    </w:r>
    <w:r>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A3" w:rsidRPr="001E47A3" w:rsidRDefault="001E47A3" w:rsidP="001E47A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A3" w:rsidRPr="001E47A3" w:rsidRDefault="001E47A3" w:rsidP="001E47A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3B" w:rsidRDefault="0096703B">
      <w:r>
        <w:separator/>
      </w:r>
    </w:p>
  </w:footnote>
  <w:footnote w:type="continuationSeparator" w:id="0">
    <w:p w:rsidR="0096703B" w:rsidRDefault="0096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7D1"/>
    <w:multiLevelType w:val="hybridMultilevel"/>
    <w:tmpl w:val="E710F51A"/>
    <w:lvl w:ilvl="0" w:tplc="DF6EFF7C">
      <w:start w:val="3"/>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42613DC2"/>
    <w:multiLevelType w:val="hybridMultilevel"/>
    <w:tmpl w:val="156C5172"/>
    <w:lvl w:ilvl="0" w:tplc="25E2D81C">
      <w:start w:val="1"/>
      <w:numFmt w:val="japaneseCounting"/>
      <w:lvlText w:val="（%1）"/>
      <w:lvlJc w:val="left"/>
      <w:pPr>
        <w:tabs>
          <w:tab w:val="num" w:pos="1425"/>
        </w:tabs>
        <w:ind w:left="1425" w:hanging="825"/>
      </w:pPr>
      <w:rPr>
        <w:rFonts w:hint="default"/>
      </w:rPr>
    </w:lvl>
    <w:lvl w:ilvl="1" w:tplc="F09C48C4">
      <w:start w:val="1"/>
      <w:numFmt w:val="decimal"/>
      <w:lvlText w:val="%2、"/>
      <w:lvlJc w:val="left"/>
      <w:pPr>
        <w:tabs>
          <w:tab w:val="num" w:pos="1875"/>
        </w:tabs>
        <w:ind w:left="1875" w:hanging="855"/>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5015F45A"/>
    <w:multiLevelType w:val="singleLevel"/>
    <w:tmpl w:val="5015F45A"/>
    <w:lvl w:ilvl="0">
      <w:start w:val="5"/>
      <w:numFmt w:val="chineseCounting"/>
      <w:suff w:val="nothing"/>
      <w:lvlText w:val="%1、"/>
      <w:lvlJc w:val="left"/>
      <w:rPr>
        <w:rFonts w:hint="eastAsia"/>
      </w:rPr>
    </w:lvl>
  </w:abstractNum>
  <w:abstractNum w:abstractNumId="3">
    <w:nsid w:val="59000B21"/>
    <w:multiLevelType w:val="singleLevel"/>
    <w:tmpl w:val="59000B21"/>
    <w:lvl w:ilvl="0">
      <w:start w:val="2"/>
      <w:numFmt w:val="chineseCounting"/>
      <w:suff w:val="nothing"/>
      <w:lvlText w:val="（%1）"/>
      <w:lvlJc w:val="left"/>
      <w:rPr>
        <w:rFonts w:hint="eastAsia"/>
      </w:rPr>
    </w:lvl>
  </w:abstractNum>
  <w:abstractNum w:abstractNumId="4">
    <w:nsid w:val="65DD6617"/>
    <w:multiLevelType w:val="singleLevel"/>
    <w:tmpl w:val="65DD6617"/>
    <w:lvl w:ilvl="0">
      <w:start w:val="1"/>
      <w:numFmt w:val="chineseCounting"/>
      <w:suff w:val="space"/>
      <w:lvlText w:val="第%1条"/>
      <w:lvlJc w:val="left"/>
      <w:rPr>
        <w:rFonts w:hint="eastAsia"/>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D7"/>
    <w:rsid w:val="00002D34"/>
    <w:rsid w:val="00015917"/>
    <w:rsid w:val="00041F44"/>
    <w:rsid w:val="0004724F"/>
    <w:rsid w:val="00053A2E"/>
    <w:rsid w:val="0007041A"/>
    <w:rsid w:val="000856E5"/>
    <w:rsid w:val="000942A5"/>
    <w:rsid w:val="000C0AA3"/>
    <w:rsid w:val="000C6EBB"/>
    <w:rsid w:val="000D1287"/>
    <w:rsid w:val="000D365E"/>
    <w:rsid w:val="000E59FB"/>
    <w:rsid w:val="000F36B4"/>
    <w:rsid w:val="00105593"/>
    <w:rsid w:val="0011399C"/>
    <w:rsid w:val="00124E49"/>
    <w:rsid w:val="00125B23"/>
    <w:rsid w:val="00156522"/>
    <w:rsid w:val="0016475D"/>
    <w:rsid w:val="00167CEB"/>
    <w:rsid w:val="00177370"/>
    <w:rsid w:val="001A356E"/>
    <w:rsid w:val="001D00EB"/>
    <w:rsid w:val="001E47A3"/>
    <w:rsid w:val="00205343"/>
    <w:rsid w:val="00233295"/>
    <w:rsid w:val="002467AB"/>
    <w:rsid w:val="00271286"/>
    <w:rsid w:val="00271ADF"/>
    <w:rsid w:val="002732C2"/>
    <w:rsid w:val="002C2CFC"/>
    <w:rsid w:val="002C5D2D"/>
    <w:rsid w:val="003234E3"/>
    <w:rsid w:val="00327042"/>
    <w:rsid w:val="003371FF"/>
    <w:rsid w:val="00345B3C"/>
    <w:rsid w:val="00357826"/>
    <w:rsid w:val="00365AD4"/>
    <w:rsid w:val="00372450"/>
    <w:rsid w:val="00381747"/>
    <w:rsid w:val="003A1984"/>
    <w:rsid w:val="003E3327"/>
    <w:rsid w:val="004334C8"/>
    <w:rsid w:val="00446B3F"/>
    <w:rsid w:val="00453D76"/>
    <w:rsid w:val="00464C6A"/>
    <w:rsid w:val="00466B09"/>
    <w:rsid w:val="00477EA0"/>
    <w:rsid w:val="00485A20"/>
    <w:rsid w:val="004A4AE8"/>
    <w:rsid w:val="004B4A95"/>
    <w:rsid w:val="00506520"/>
    <w:rsid w:val="005112F9"/>
    <w:rsid w:val="005114BF"/>
    <w:rsid w:val="00515524"/>
    <w:rsid w:val="00526500"/>
    <w:rsid w:val="00532C9B"/>
    <w:rsid w:val="00537601"/>
    <w:rsid w:val="00540972"/>
    <w:rsid w:val="00576141"/>
    <w:rsid w:val="005A1BCF"/>
    <w:rsid w:val="005A72DF"/>
    <w:rsid w:val="005B2290"/>
    <w:rsid w:val="005D11E8"/>
    <w:rsid w:val="00600A22"/>
    <w:rsid w:val="00607864"/>
    <w:rsid w:val="00610090"/>
    <w:rsid w:val="006105A0"/>
    <w:rsid w:val="00610BDB"/>
    <w:rsid w:val="006855B0"/>
    <w:rsid w:val="006A0DFF"/>
    <w:rsid w:val="006A5CAA"/>
    <w:rsid w:val="006E48EB"/>
    <w:rsid w:val="006E5F30"/>
    <w:rsid w:val="006E7587"/>
    <w:rsid w:val="006E7E3E"/>
    <w:rsid w:val="007075BB"/>
    <w:rsid w:val="00711371"/>
    <w:rsid w:val="0071407C"/>
    <w:rsid w:val="00715278"/>
    <w:rsid w:val="00744D91"/>
    <w:rsid w:val="007C1694"/>
    <w:rsid w:val="00802C85"/>
    <w:rsid w:val="008033A4"/>
    <w:rsid w:val="00816171"/>
    <w:rsid w:val="008218B1"/>
    <w:rsid w:val="00825D78"/>
    <w:rsid w:val="00875DCD"/>
    <w:rsid w:val="008838DC"/>
    <w:rsid w:val="008C426F"/>
    <w:rsid w:val="008E5BBA"/>
    <w:rsid w:val="008F6D5E"/>
    <w:rsid w:val="00907CC3"/>
    <w:rsid w:val="009267BE"/>
    <w:rsid w:val="00927213"/>
    <w:rsid w:val="00935EF7"/>
    <w:rsid w:val="0096703B"/>
    <w:rsid w:val="00967DA3"/>
    <w:rsid w:val="009F016C"/>
    <w:rsid w:val="00A272E1"/>
    <w:rsid w:val="00A43DD5"/>
    <w:rsid w:val="00AB00E6"/>
    <w:rsid w:val="00AB388E"/>
    <w:rsid w:val="00B106E1"/>
    <w:rsid w:val="00B5677D"/>
    <w:rsid w:val="00B6206D"/>
    <w:rsid w:val="00B7552F"/>
    <w:rsid w:val="00B8075C"/>
    <w:rsid w:val="00BE5F17"/>
    <w:rsid w:val="00BF6AEA"/>
    <w:rsid w:val="00C123A1"/>
    <w:rsid w:val="00C30697"/>
    <w:rsid w:val="00C321EC"/>
    <w:rsid w:val="00C66DC2"/>
    <w:rsid w:val="00C85DD7"/>
    <w:rsid w:val="00C874D6"/>
    <w:rsid w:val="00C97F86"/>
    <w:rsid w:val="00CB0DF4"/>
    <w:rsid w:val="00CB49F2"/>
    <w:rsid w:val="00CB50A8"/>
    <w:rsid w:val="00CB758D"/>
    <w:rsid w:val="00CC429E"/>
    <w:rsid w:val="00CC6F0C"/>
    <w:rsid w:val="00CE5D42"/>
    <w:rsid w:val="00CF42B4"/>
    <w:rsid w:val="00D10907"/>
    <w:rsid w:val="00D12A5D"/>
    <w:rsid w:val="00D24FC7"/>
    <w:rsid w:val="00D33FBD"/>
    <w:rsid w:val="00D4177C"/>
    <w:rsid w:val="00D57328"/>
    <w:rsid w:val="00DA0E82"/>
    <w:rsid w:val="00DA7135"/>
    <w:rsid w:val="00DB0483"/>
    <w:rsid w:val="00DC609E"/>
    <w:rsid w:val="00DD2D92"/>
    <w:rsid w:val="00DD50AD"/>
    <w:rsid w:val="00E01A4A"/>
    <w:rsid w:val="00E07DF0"/>
    <w:rsid w:val="00E25F35"/>
    <w:rsid w:val="00E470C5"/>
    <w:rsid w:val="00E47277"/>
    <w:rsid w:val="00E50092"/>
    <w:rsid w:val="00E62060"/>
    <w:rsid w:val="00E62AA1"/>
    <w:rsid w:val="00E77DE3"/>
    <w:rsid w:val="00E824EA"/>
    <w:rsid w:val="00E94233"/>
    <w:rsid w:val="00ED39F7"/>
    <w:rsid w:val="00F01A4D"/>
    <w:rsid w:val="00F4643D"/>
    <w:rsid w:val="00F5736B"/>
    <w:rsid w:val="00F751E2"/>
    <w:rsid w:val="00F90858"/>
    <w:rsid w:val="00F978FF"/>
    <w:rsid w:val="00FB6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B4"/>
    <w:pPr>
      <w:widowControl w:val="0"/>
      <w:jc w:val="both"/>
    </w:pPr>
    <w:rPr>
      <w:rFonts w:ascii="仿宋"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206D"/>
    <w:pPr>
      <w:tabs>
        <w:tab w:val="center" w:pos="4153"/>
        <w:tab w:val="right" w:pos="8306"/>
      </w:tabs>
      <w:snapToGrid w:val="0"/>
      <w:jc w:val="left"/>
    </w:pPr>
    <w:rPr>
      <w:rFonts w:hAnsi="Calibri"/>
      <w:sz w:val="18"/>
      <w:szCs w:val="24"/>
    </w:rPr>
  </w:style>
  <w:style w:type="character" w:customStyle="1" w:styleId="Char">
    <w:name w:val="页脚 Char"/>
    <w:link w:val="a3"/>
    <w:uiPriority w:val="99"/>
    <w:qFormat/>
    <w:rsid w:val="00B6206D"/>
    <w:rPr>
      <w:rFonts w:ascii="仿宋" w:eastAsia="仿宋"/>
      <w:sz w:val="18"/>
      <w:szCs w:val="24"/>
    </w:rPr>
  </w:style>
  <w:style w:type="paragraph" w:styleId="a4">
    <w:name w:val="header"/>
    <w:basedOn w:val="a"/>
    <w:link w:val="Char0"/>
    <w:qFormat/>
    <w:rsid w:val="00B6206D"/>
    <w:pPr>
      <w:pBdr>
        <w:top w:val="none" w:sz="0" w:space="1" w:color="auto"/>
        <w:left w:val="none" w:sz="0" w:space="4" w:color="auto"/>
        <w:bottom w:val="none" w:sz="0" w:space="1" w:color="auto"/>
        <w:right w:val="none" w:sz="0" w:space="4" w:color="auto"/>
      </w:pBdr>
      <w:tabs>
        <w:tab w:val="center" w:pos="4153"/>
        <w:tab w:val="right" w:pos="8306"/>
      </w:tabs>
      <w:snapToGrid w:val="0"/>
    </w:pPr>
    <w:rPr>
      <w:rFonts w:hAnsi="Calibri"/>
      <w:sz w:val="18"/>
      <w:szCs w:val="24"/>
    </w:rPr>
  </w:style>
  <w:style w:type="character" w:customStyle="1" w:styleId="Char0">
    <w:name w:val="页眉 Char"/>
    <w:link w:val="a4"/>
    <w:rsid w:val="00B6206D"/>
    <w:rPr>
      <w:rFonts w:ascii="仿宋" w:eastAsia="仿宋"/>
      <w:sz w:val="18"/>
      <w:szCs w:val="24"/>
    </w:rPr>
  </w:style>
  <w:style w:type="paragraph" w:customStyle="1" w:styleId="3">
    <w:name w:val="列出段落3"/>
    <w:basedOn w:val="a"/>
    <w:uiPriority w:val="99"/>
    <w:unhideWhenUsed/>
    <w:qFormat/>
    <w:rsid w:val="00B6206D"/>
    <w:pPr>
      <w:ind w:firstLineChars="200" w:firstLine="420"/>
    </w:pPr>
    <w:rPr>
      <w:rFonts w:ascii="Calibri" w:eastAsia="宋体" w:hAnsi="Calibri" w:cs="宋体"/>
      <w:szCs w:val="24"/>
    </w:rPr>
  </w:style>
  <w:style w:type="paragraph" w:styleId="a5">
    <w:name w:val="Balloon Text"/>
    <w:basedOn w:val="a"/>
    <w:link w:val="Char1"/>
    <w:uiPriority w:val="99"/>
    <w:semiHidden/>
    <w:unhideWhenUsed/>
    <w:rsid w:val="003E3327"/>
    <w:rPr>
      <w:sz w:val="18"/>
      <w:szCs w:val="18"/>
    </w:rPr>
  </w:style>
  <w:style w:type="character" w:customStyle="1" w:styleId="Char1">
    <w:name w:val="批注框文本 Char"/>
    <w:link w:val="a5"/>
    <w:uiPriority w:val="99"/>
    <w:semiHidden/>
    <w:rsid w:val="003E3327"/>
    <w:rPr>
      <w:rFonts w:ascii="Times New Roman" w:eastAsia="仿宋_GB2312" w:hAnsi="Times New Roman" w:cs="Times New Roman"/>
      <w:sz w:val="18"/>
      <w:szCs w:val="18"/>
    </w:rPr>
  </w:style>
  <w:style w:type="character" w:styleId="a6">
    <w:name w:val="Hyperlink"/>
    <w:uiPriority w:val="99"/>
    <w:unhideWhenUsed/>
    <w:rsid w:val="00CF42B4"/>
    <w:rPr>
      <w:color w:val="0000FF"/>
      <w:u w:val="single"/>
    </w:rPr>
  </w:style>
  <w:style w:type="paragraph" w:styleId="a7">
    <w:name w:val="List Paragraph"/>
    <w:basedOn w:val="a"/>
    <w:uiPriority w:val="34"/>
    <w:qFormat/>
    <w:rsid w:val="00124E49"/>
    <w:pPr>
      <w:ind w:firstLineChars="200" w:firstLine="420"/>
    </w:pPr>
    <w:rPr>
      <w:rFonts w:asciiTheme="minorHAnsi" w:eastAsiaTheme="minorEastAsia" w:hAnsiTheme="minorHAnsi" w:cstheme="minorBidi"/>
      <w:sz w:val="21"/>
      <w:szCs w:val="22"/>
    </w:rPr>
  </w:style>
  <w:style w:type="table" w:styleId="a8">
    <w:name w:val="Table Grid"/>
    <w:basedOn w:val="a1"/>
    <w:qFormat/>
    <w:rsid w:val="00124E49"/>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1E47A3"/>
    <w:rPr>
      <w:b/>
    </w:rPr>
  </w:style>
  <w:style w:type="paragraph" w:styleId="aa">
    <w:name w:val="Normal (Web)"/>
    <w:basedOn w:val="a"/>
    <w:rsid w:val="001E47A3"/>
    <w:pPr>
      <w:spacing w:before="100" w:beforeAutospacing="1" w:after="100" w:afterAutospacing="1"/>
      <w:jc w:val="left"/>
    </w:pPr>
    <w:rPr>
      <w:rFonts w:ascii="Calibri" w:eastAsia="宋体" w:hAnsi="Calibri"/>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2B4"/>
    <w:pPr>
      <w:widowControl w:val="0"/>
      <w:jc w:val="both"/>
    </w:pPr>
    <w:rPr>
      <w:rFonts w:ascii="仿宋" w:eastAsia="仿宋"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206D"/>
    <w:pPr>
      <w:tabs>
        <w:tab w:val="center" w:pos="4153"/>
        <w:tab w:val="right" w:pos="8306"/>
      </w:tabs>
      <w:snapToGrid w:val="0"/>
      <w:jc w:val="left"/>
    </w:pPr>
    <w:rPr>
      <w:rFonts w:hAnsi="Calibri"/>
      <w:sz w:val="18"/>
      <w:szCs w:val="24"/>
    </w:rPr>
  </w:style>
  <w:style w:type="character" w:customStyle="1" w:styleId="Char">
    <w:name w:val="页脚 Char"/>
    <w:link w:val="a3"/>
    <w:uiPriority w:val="99"/>
    <w:qFormat/>
    <w:rsid w:val="00B6206D"/>
    <w:rPr>
      <w:rFonts w:ascii="仿宋" w:eastAsia="仿宋"/>
      <w:sz w:val="18"/>
      <w:szCs w:val="24"/>
    </w:rPr>
  </w:style>
  <w:style w:type="paragraph" w:styleId="a4">
    <w:name w:val="header"/>
    <w:basedOn w:val="a"/>
    <w:link w:val="Char0"/>
    <w:qFormat/>
    <w:rsid w:val="00B6206D"/>
    <w:pPr>
      <w:pBdr>
        <w:top w:val="none" w:sz="0" w:space="1" w:color="auto"/>
        <w:left w:val="none" w:sz="0" w:space="4" w:color="auto"/>
        <w:bottom w:val="none" w:sz="0" w:space="1" w:color="auto"/>
        <w:right w:val="none" w:sz="0" w:space="4" w:color="auto"/>
      </w:pBdr>
      <w:tabs>
        <w:tab w:val="center" w:pos="4153"/>
        <w:tab w:val="right" w:pos="8306"/>
      </w:tabs>
      <w:snapToGrid w:val="0"/>
    </w:pPr>
    <w:rPr>
      <w:rFonts w:hAnsi="Calibri"/>
      <w:sz w:val="18"/>
      <w:szCs w:val="24"/>
    </w:rPr>
  </w:style>
  <w:style w:type="character" w:customStyle="1" w:styleId="Char0">
    <w:name w:val="页眉 Char"/>
    <w:link w:val="a4"/>
    <w:rsid w:val="00B6206D"/>
    <w:rPr>
      <w:rFonts w:ascii="仿宋" w:eastAsia="仿宋"/>
      <w:sz w:val="18"/>
      <w:szCs w:val="24"/>
    </w:rPr>
  </w:style>
  <w:style w:type="paragraph" w:customStyle="1" w:styleId="3">
    <w:name w:val="列出段落3"/>
    <w:basedOn w:val="a"/>
    <w:uiPriority w:val="99"/>
    <w:unhideWhenUsed/>
    <w:qFormat/>
    <w:rsid w:val="00B6206D"/>
    <w:pPr>
      <w:ind w:firstLineChars="200" w:firstLine="420"/>
    </w:pPr>
    <w:rPr>
      <w:rFonts w:ascii="Calibri" w:eastAsia="宋体" w:hAnsi="Calibri" w:cs="宋体"/>
      <w:szCs w:val="24"/>
    </w:rPr>
  </w:style>
  <w:style w:type="paragraph" w:styleId="a5">
    <w:name w:val="Balloon Text"/>
    <w:basedOn w:val="a"/>
    <w:link w:val="Char1"/>
    <w:uiPriority w:val="99"/>
    <w:semiHidden/>
    <w:unhideWhenUsed/>
    <w:rsid w:val="003E3327"/>
    <w:rPr>
      <w:sz w:val="18"/>
      <w:szCs w:val="18"/>
    </w:rPr>
  </w:style>
  <w:style w:type="character" w:customStyle="1" w:styleId="Char1">
    <w:name w:val="批注框文本 Char"/>
    <w:link w:val="a5"/>
    <w:uiPriority w:val="99"/>
    <w:semiHidden/>
    <w:rsid w:val="003E3327"/>
    <w:rPr>
      <w:rFonts w:ascii="Times New Roman" w:eastAsia="仿宋_GB2312" w:hAnsi="Times New Roman" w:cs="Times New Roman"/>
      <w:sz w:val="18"/>
      <w:szCs w:val="18"/>
    </w:rPr>
  </w:style>
  <w:style w:type="character" w:styleId="a6">
    <w:name w:val="Hyperlink"/>
    <w:uiPriority w:val="99"/>
    <w:unhideWhenUsed/>
    <w:rsid w:val="00CF42B4"/>
    <w:rPr>
      <w:color w:val="0000FF"/>
      <w:u w:val="single"/>
    </w:rPr>
  </w:style>
  <w:style w:type="paragraph" w:styleId="a7">
    <w:name w:val="List Paragraph"/>
    <w:basedOn w:val="a"/>
    <w:uiPriority w:val="34"/>
    <w:qFormat/>
    <w:rsid w:val="00124E49"/>
    <w:pPr>
      <w:ind w:firstLineChars="200" w:firstLine="420"/>
    </w:pPr>
    <w:rPr>
      <w:rFonts w:asciiTheme="minorHAnsi" w:eastAsiaTheme="minorEastAsia" w:hAnsiTheme="minorHAnsi" w:cstheme="minorBidi"/>
      <w:sz w:val="21"/>
      <w:szCs w:val="22"/>
    </w:rPr>
  </w:style>
  <w:style w:type="table" w:styleId="a8">
    <w:name w:val="Table Grid"/>
    <w:basedOn w:val="a1"/>
    <w:qFormat/>
    <w:rsid w:val="00124E49"/>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1E47A3"/>
    <w:rPr>
      <w:b/>
    </w:rPr>
  </w:style>
  <w:style w:type="paragraph" w:styleId="aa">
    <w:name w:val="Normal (Web)"/>
    <w:basedOn w:val="a"/>
    <w:rsid w:val="001E47A3"/>
    <w:pPr>
      <w:spacing w:before="100" w:beforeAutospacing="1" w:after="100" w:afterAutospacing="1"/>
      <w:jc w:val="left"/>
    </w:pPr>
    <w:rPr>
      <w:rFonts w:ascii="Calibri" w:eastAsia="宋体" w:hAnsi="Calibr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5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662</Words>
  <Characters>3779</Characters>
  <Application>Microsoft Office Word</Application>
  <DocSecurity>0</DocSecurity>
  <Lines>31</Lines>
  <Paragraphs>8</Paragraphs>
  <ScaleCrop>false</ScaleCrop>
  <Company>Microsoft</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杨刚_65ygang</dc:creator>
  <cp:lastModifiedBy>秦敏</cp:lastModifiedBy>
  <cp:revision>5</cp:revision>
  <cp:lastPrinted>2019-03-06T02:09:00Z</cp:lastPrinted>
  <dcterms:created xsi:type="dcterms:W3CDTF">2019-03-04T04:33:00Z</dcterms:created>
  <dcterms:modified xsi:type="dcterms:W3CDTF">2019-03-06T02:09:00Z</dcterms:modified>
</cp:coreProperties>
</file>