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44"/>
          <w:szCs w:val="44"/>
        </w:rPr>
      </w:pPr>
      <w:bookmarkStart w:id="0" w:name="_Toc455398733"/>
      <w:r>
        <w:rPr>
          <w:rFonts w:hint="eastAsia" w:ascii="方正小标宋_GBK" w:eastAsia="方正小标宋_GBK"/>
          <w:sz w:val="44"/>
          <w:szCs w:val="44"/>
        </w:rPr>
        <w:t>自治区药品零售企业执业药师“挂证”行为</w:t>
      </w:r>
    </w:p>
    <w:p>
      <w:pPr>
        <w:adjustRightInd w:val="0"/>
        <w:snapToGrid w:val="0"/>
        <w:jc w:val="center"/>
        <w:rPr>
          <w:rFonts w:ascii="方正小标宋_GBK" w:eastAsia="方正小标宋_GBK"/>
          <w:sz w:val="44"/>
          <w:szCs w:val="44"/>
        </w:rPr>
      </w:pPr>
      <w:r>
        <w:rPr>
          <w:rFonts w:hint="eastAsia" w:ascii="方正小标宋_GBK" w:eastAsia="方正小标宋_GBK"/>
          <w:sz w:val="44"/>
          <w:szCs w:val="44"/>
        </w:rPr>
        <w:t>专项整治“回头看”工作方案</w:t>
      </w:r>
    </w:p>
    <w:p>
      <w:pPr>
        <w:adjustRightInd w:val="0"/>
        <w:ind w:firstLine="624" w:firstLineChars="200"/>
      </w:pPr>
    </w:p>
    <w:p>
      <w:pPr>
        <w:adjustRightInd w:val="0"/>
        <w:ind w:firstLine="624" w:firstLineChars="200"/>
      </w:pPr>
      <w:r>
        <w:rPr>
          <w:rFonts w:hint="eastAsia"/>
        </w:rPr>
        <w:t>为严格落实新修订的《药品管理法》，进一步巩固我区2019年</w:t>
      </w:r>
      <w:r>
        <w:t>药品零售企业执业药师“挂证”行为</w:t>
      </w:r>
      <w:r>
        <w:rPr>
          <w:rFonts w:hint="eastAsia"/>
        </w:rPr>
        <w:t>专项</w:t>
      </w:r>
      <w:r>
        <w:t>整治</w:t>
      </w:r>
      <w:r>
        <w:rPr>
          <w:rFonts w:hint="eastAsia"/>
        </w:rPr>
        <w:t>成果</w:t>
      </w:r>
      <w:r>
        <w:t>，严防不法行为死灰复燃</w:t>
      </w:r>
      <w:r>
        <w:rPr>
          <w:rFonts w:hint="eastAsia"/>
        </w:rPr>
        <w:t>，有效保障公众用药安全，不断加强药品监管制度建设并维护其权威性，防范药品经营质量安全风险，进一步促进药品零售企业健康有序发展，提升药品零售行业规范化、连锁化、规模化和集约化发展水平。自治区药监局决定在</w:t>
      </w:r>
      <w:r>
        <w:t>辖区内开展药品零售连锁</w:t>
      </w:r>
      <w:r>
        <w:rPr>
          <w:rFonts w:hint="eastAsia"/>
        </w:rPr>
        <w:t>企业执业药师“挂证”行为专项整治“回头看”工作，制定方案如下：</w:t>
      </w:r>
    </w:p>
    <w:p>
      <w:pPr>
        <w:adjustRightInd w:val="0"/>
        <w:ind w:firstLine="624" w:firstLineChars="200"/>
        <w:rPr>
          <w:rFonts w:ascii="黑体" w:hAnsi="黑体" w:eastAsia="黑体"/>
        </w:rPr>
      </w:pPr>
      <w:r>
        <w:rPr>
          <w:rFonts w:hint="eastAsia" w:ascii="黑体" w:hAnsi="黑体" w:eastAsia="黑体"/>
        </w:rPr>
        <w:t>一、工作目标</w:t>
      </w:r>
    </w:p>
    <w:p>
      <w:pPr>
        <w:adjustRightInd w:val="0"/>
        <w:ind w:firstLine="624" w:firstLineChars="200"/>
      </w:pPr>
      <w:r>
        <w:rPr>
          <w:rFonts w:hint="eastAsia"/>
        </w:rPr>
        <w:t>以习近平新时代中国特色社会主义思想为指导，贯彻落实以习近平同志为核心的党中央治疆方略，坚持以人民为中心，按照“四个最严”要求，规范药品经营秩序，筑牢药品安全底线；深化“放管服”改革要求，进一步改善营商环境，减少政策屏障，激发市场活力，推动我区药品经营企业高质量发展，为社会稳定和长治久安总目标实现做出积极努力。</w:t>
      </w:r>
    </w:p>
    <w:p>
      <w:pPr>
        <w:adjustRightInd w:val="0"/>
        <w:ind w:firstLine="624" w:firstLineChars="200"/>
        <w:rPr>
          <w:rFonts w:ascii="黑体" w:hAnsi="黑体" w:eastAsia="黑体"/>
        </w:rPr>
      </w:pPr>
      <w:r>
        <w:rPr>
          <w:rFonts w:hint="eastAsia" w:ascii="黑体" w:hAnsi="黑体" w:eastAsia="黑体"/>
        </w:rPr>
        <w:t>二、工作任务</w:t>
      </w:r>
    </w:p>
    <w:p>
      <w:pPr>
        <w:adjustRightInd w:val="0"/>
        <w:ind w:firstLine="624" w:firstLineChars="200"/>
      </w:pPr>
      <w:r>
        <w:rPr>
          <w:rFonts w:hint="eastAsia"/>
        </w:rPr>
        <w:t>（一）贯彻落实习近平总书记“四个最严”要求，按照自治区党委、政府工作部署，宣传贯彻落实新修订的《药品管理法》规定，督促药品经营企业履行质量安全的主体责任，保障公众用药安全。</w:t>
      </w:r>
    </w:p>
    <w:p>
      <w:pPr>
        <w:adjustRightInd w:val="0"/>
        <w:ind w:firstLine="624" w:firstLineChars="200"/>
      </w:pPr>
      <w:r>
        <w:rPr>
          <w:rFonts w:hint="eastAsia"/>
        </w:rPr>
        <w:t>（二）对辖区内药品监管部门和药品零售企业落实《关于促进新疆维吾尔自治区药品零售企业健康发展意见（试行）的通知》情况进行全覆盖检查，防止政策执行中出现偏移偏差和跑冒滴漏的现象。</w:t>
      </w:r>
    </w:p>
    <w:p>
      <w:pPr>
        <w:adjustRightInd w:val="0"/>
        <w:ind w:firstLine="624" w:firstLineChars="200"/>
      </w:pPr>
      <w:r>
        <w:rPr>
          <w:rFonts w:hint="eastAsia"/>
        </w:rPr>
        <w:t>（三）规范药品零售连锁企业管理，对存在的有法不依、有章不循的企业假连锁、执业药师“挂证”、处方药不凭处方销售等违法违规行为严查重处，</w:t>
      </w:r>
      <w:r>
        <w:t>助推整治工作成效进一步提升，打造药品安全的良好环境。</w:t>
      </w:r>
    </w:p>
    <w:p>
      <w:pPr>
        <w:adjustRightInd w:val="0"/>
        <w:ind w:firstLine="624" w:firstLineChars="200"/>
      </w:pPr>
      <w:r>
        <w:rPr>
          <w:rFonts w:hint="eastAsia"/>
        </w:rPr>
        <w:t>（四）通过混编成组、区地联合、交叉检查等方式提高检查质量和效率，各地交流和借鉴监管经验，培养和锻炼复合型监管队伍，为规范和提高我区药品监管能力和水平打好基础。</w:t>
      </w:r>
    </w:p>
    <w:p>
      <w:pPr>
        <w:adjustRightInd w:val="0"/>
        <w:ind w:firstLine="624" w:firstLineChars="200"/>
        <w:rPr>
          <w:rFonts w:ascii="黑体" w:hAnsi="黑体" w:eastAsia="黑体"/>
        </w:rPr>
      </w:pPr>
      <w:r>
        <w:rPr>
          <w:rFonts w:hint="eastAsia" w:ascii="黑体" w:hAnsi="黑体" w:eastAsia="黑体"/>
        </w:rPr>
        <w:t>三、时间安排</w:t>
      </w:r>
    </w:p>
    <w:p>
      <w:pPr>
        <w:adjustRightInd w:val="0"/>
        <w:ind w:firstLine="624" w:firstLineChars="200"/>
      </w:pPr>
      <w:r>
        <w:rPr>
          <w:rFonts w:hint="eastAsia"/>
        </w:rPr>
        <w:t>2020年5月—2020年10月</w:t>
      </w:r>
    </w:p>
    <w:p>
      <w:pPr>
        <w:adjustRightInd w:val="0"/>
        <w:ind w:firstLine="624" w:firstLineChars="200"/>
        <w:rPr>
          <w:rFonts w:ascii="黑体" w:hAnsi="黑体" w:eastAsia="黑体"/>
        </w:rPr>
      </w:pPr>
      <w:r>
        <w:rPr>
          <w:rFonts w:hint="eastAsia" w:ascii="黑体" w:hAnsi="黑体" w:eastAsia="黑体"/>
        </w:rPr>
        <w:t>四、检查依据</w:t>
      </w:r>
    </w:p>
    <w:p>
      <w:pPr>
        <w:adjustRightInd w:val="0"/>
        <w:ind w:firstLine="624" w:firstLineChars="200"/>
      </w:pPr>
      <w:r>
        <w:rPr>
          <w:rFonts w:hint="eastAsia"/>
        </w:rPr>
        <w:t>《药品管理法》</w:t>
      </w:r>
      <w:r>
        <w:t>《药品流通监督管理办法》《药品经营质量管理规范》</w:t>
      </w:r>
      <w:r>
        <w:rPr>
          <w:rFonts w:hint="eastAsia"/>
        </w:rPr>
        <w:t>以及《关于促进新疆维吾尔自治区药品零售企业健康发展意见（试行）的通知》。</w:t>
      </w:r>
    </w:p>
    <w:p>
      <w:pPr>
        <w:adjustRightInd w:val="0"/>
        <w:ind w:firstLine="624" w:firstLineChars="200"/>
        <w:rPr>
          <w:rFonts w:ascii="黑体" w:hAnsi="黑体" w:eastAsia="黑体"/>
        </w:rPr>
      </w:pPr>
      <w:r>
        <w:rPr>
          <w:rFonts w:hint="eastAsia" w:ascii="黑体" w:hAnsi="黑体" w:eastAsia="黑体"/>
        </w:rPr>
        <w:t>五、工作内容</w:t>
      </w:r>
    </w:p>
    <w:p>
      <w:pPr>
        <w:adjustRightInd w:val="0"/>
        <w:ind w:firstLine="624" w:firstLineChars="200"/>
        <w:rPr>
          <w:rFonts w:ascii="楷体" w:hAnsi="楷体" w:eastAsia="楷体"/>
        </w:rPr>
      </w:pPr>
      <w:r>
        <w:rPr>
          <w:rFonts w:hint="eastAsia" w:ascii="楷体" w:hAnsi="楷体" w:eastAsia="楷体"/>
        </w:rPr>
        <w:t>（一）企业自查阶段（2020年5月—6月）</w:t>
      </w:r>
    </w:p>
    <w:p>
      <w:pPr>
        <w:adjustRightInd w:val="0"/>
        <w:ind w:firstLine="624" w:firstLineChars="200"/>
      </w:pPr>
      <w:r>
        <w:t>辖区内的药品零售</w:t>
      </w:r>
      <w:r>
        <w:rPr>
          <w:rFonts w:hint="eastAsia"/>
        </w:rPr>
        <w:t>企业</w:t>
      </w:r>
      <w:r>
        <w:t>开展自查，对</w:t>
      </w:r>
      <w:r>
        <w:rPr>
          <w:rFonts w:hint="eastAsia"/>
        </w:rPr>
        <w:t>存在的管理体系文件不健全、计算机系统管理混乱、人员配备培训不到位、经营质量管理不规范</w:t>
      </w:r>
      <w:r>
        <w:t>等问题，采取切实有效措施主动整改</w:t>
      </w:r>
      <w:r>
        <w:rPr>
          <w:rFonts w:hint="eastAsia"/>
        </w:rPr>
        <w:t>到位</w:t>
      </w:r>
      <w:r>
        <w:t>，</w:t>
      </w:r>
      <w:r>
        <w:rPr>
          <w:rFonts w:hint="eastAsia"/>
        </w:rPr>
        <w:t>药品零售连锁</w:t>
      </w:r>
      <w:r>
        <w:t>企业自查整改情况应于20</w:t>
      </w:r>
      <w:r>
        <w:rPr>
          <w:rFonts w:hint="eastAsia"/>
        </w:rPr>
        <w:t>20</w:t>
      </w:r>
      <w:r>
        <w:t>年</w:t>
      </w:r>
      <w:r>
        <w:rPr>
          <w:rFonts w:hint="eastAsia"/>
        </w:rPr>
        <w:t>6</w:t>
      </w:r>
      <w:r>
        <w:t>月</w:t>
      </w:r>
      <w:r>
        <w:rPr>
          <w:rFonts w:hint="eastAsia"/>
        </w:rPr>
        <w:t>30</w:t>
      </w:r>
      <w:r>
        <w:t>日前报</w:t>
      </w:r>
      <w:r>
        <w:rPr>
          <w:rFonts w:hint="eastAsia"/>
        </w:rPr>
        <w:t>送自治区药监局药品流通处，同时报送辖区地市级药品监管部门。单体药店自查整改情况报当地县级药品监管部门。</w:t>
      </w:r>
    </w:p>
    <w:p>
      <w:pPr>
        <w:adjustRightInd w:val="0"/>
        <w:ind w:firstLine="624" w:firstLineChars="200"/>
        <w:rPr>
          <w:rFonts w:ascii="楷体" w:hAnsi="楷体" w:eastAsia="楷体"/>
        </w:rPr>
      </w:pPr>
      <w:r>
        <w:rPr>
          <w:rFonts w:hint="eastAsia" w:ascii="楷体" w:hAnsi="楷体" w:eastAsia="楷体"/>
        </w:rPr>
        <w:t>（二）监督检查阶段（2020年7月—9月）</w:t>
      </w:r>
    </w:p>
    <w:p>
      <w:pPr>
        <w:adjustRightInd w:val="0"/>
        <w:ind w:firstLine="624" w:firstLineChars="200"/>
      </w:pPr>
      <w:r>
        <w:rPr>
          <w:rFonts w:hint="eastAsia"/>
        </w:rPr>
        <w:t>现场检查采取资料查看、实地走访、个别访谈等方式进行，对药品零售连锁企业开展拉网式普查，被检查单位包括连锁总部、仓储物流以及连锁门店，其中，连锁门店延伸检查数量不得少于三家，如有特许加盟店必须检查。单体药店由当地县级药品监管部门负责检查。检查组对被检查地2019年有违法违规行为的单体药店进行随机抽查。</w:t>
      </w:r>
    </w:p>
    <w:p>
      <w:pPr>
        <w:adjustRightInd w:val="0"/>
        <w:ind w:firstLine="624" w:firstLineChars="200"/>
      </w:pPr>
      <w:r>
        <w:rPr>
          <w:rFonts w:hint="eastAsia"/>
        </w:rPr>
        <w:t>1．药品零售连锁企业检查重点：是否按照“七统一”（统一品牌标识管理、统一药品质量管理、统一采购管理、统一配送管理、统一财务管理、统一网络信息管理、统一服务质量管理）管理；配送中心（仓库）是否与其经营范围、设施设备相适应；是否按规定配备执业药师且与备案相一致；远程审方设施设备是否符合要求；远程审方操作流程是否规范并严格执行等。</w:t>
      </w:r>
    </w:p>
    <w:p>
      <w:pPr>
        <w:adjustRightInd w:val="0"/>
        <w:ind w:firstLine="624" w:firstLineChars="200"/>
      </w:pPr>
      <w:r>
        <w:rPr>
          <w:rFonts w:hint="eastAsia"/>
        </w:rPr>
        <w:t>2．单体药店检查重点：质量体系文件、人员培训、执业药师在岗、</w:t>
      </w:r>
      <w:r>
        <w:t>处方药</w:t>
      </w:r>
      <w:r>
        <w:rPr>
          <w:rFonts w:hint="eastAsia"/>
        </w:rPr>
        <w:t>规范</w:t>
      </w:r>
      <w:r>
        <w:t>销售</w:t>
      </w:r>
      <w:r>
        <w:rPr>
          <w:rFonts w:hint="eastAsia"/>
        </w:rPr>
        <w:t>、药品验收养护等。</w:t>
      </w:r>
    </w:p>
    <w:p>
      <w:pPr>
        <w:adjustRightInd w:val="0"/>
        <w:ind w:firstLine="624" w:firstLineChars="200"/>
      </w:pPr>
      <w:r>
        <w:rPr>
          <w:rFonts w:hint="eastAsia"/>
        </w:rPr>
        <w:t>3．批零一体化经营企业检查重点：按照</w:t>
      </w:r>
      <w:r>
        <w:t>《药品经营质量管理规范》</w:t>
      </w:r>
      <w:r>
        <w:rPr>
          <w:rFonts w:hint="eastAsia"/>
        </w:rPr>
        <w:t>《新疆维吾尔自治区药品零售连锁企业管理办法（试行）》《新疆维吾尔自治区药品零售连锁企业验收标准（试行）》等规定，在质量体系文件、人员管理、计算机系统、仓储物流和设施设备等方面的规范管理。</w:t>
      </w:r>
    </w:p>
    <w:p>
      <w:pPr>
        <w:adjustRightInd w:val="0"/>
        <w:ind w:firstLine="624" w:firstLineChars="200"/>
        <w:rPr>
          <w:rFonts w:ascii="楷体" w:hAnsi="楷体" w:eastAsia="楷体"/>
        </w:rPr>
      </w:pPr>
      <w:r>
        <w:rPr>
          <w:rFonts w:hint="eastAsia" w:ascii="楷体" w:hAnsi="楷体" w:eastAsia="楷体"/>
        </w:rPr>
        <w:t>（三）整改查处阶段（2020年10月）</w:t>
      </w:r>
    </w:p>
    <w:p>
      <w:pPr>
        <w:adjustRightInd w:val="0"/>
        <w:ind w:firstLine="624" w:firstLineChars="200"/>
      </w:pPr>
      <w:r>
        <w:t>辖区内的药品零售</w:t>
      </w:r>
      <w:r>
        <w:rPr>
          <w:rFonts w:hint="eastAsia"/>
        </w:rPr>
        <w:t>企业对检查中发现的违法违规行为要制定整改计划和措施，限期整改。整改结束后，药品零售连锁</w:t>
      </w:r>
      <w:r>
        <w:t>企业</w:t>
      </w:r>
      <w:r>
        <w:rPr>
          <w:rFonts w:hint="eastAsia"/>
        </w:rPr>
        <w:t>应立即将</w:t>
      </w:r>
      <w:r>
        <w:t>整改情况报</w:t>
      </w:r>
      <w:r>
        <w:rPr>
          <w:rFonts w:hint="eastAsia"/>
        </w:rPr>
        <w:t>送自治区药监局药品流通处，同时报送辖区地市级药品监管部门。单体药店将整改情况报当地县级药品监管部门。各级药品监管部门应按照事权划分，对药品零售企业违法违规行为依法依规严肃查处。自治区药监局检查组要将检查情况和案件查办情况向局党组做出专题汇报。</w:t>
      </w:r>
      <w:r>
        <w:rPr>
          <w:rFonts w:hint="eastAsia"/>
          <w:b/>
        </w:rPr>
        <w:t>自治区药监局将召开集体约谈会，通报专项检查情况及存在的共性问题和突出问题处理结果，对存在严重问题的企业视情节按照《药品管理法》第126条“责令限期改正、给予警告；逾期不改正的，处十万元以上五十万元以下的罚款；情节严重的，处五十万元以上二百万元以下的罚款，责令停产停业整顿直至吊销药品经营许可证”或者《药品管理法》第130条“责令改正，给予警告；情节严重的，吊销药品经营许可证”的行政处罚，督促企业切实履行主体责任，规范经营行为。</w:t>
      </w:r>
    </w:p>
    <w:p>
      <w:pPr>
        <w:adjustRightInd w:val="0"/>
        <w:ind w:firstLine="624" w:firstLineChars="200"/>
        <w:rPr>
          <w:rFonts w:ascii="黑体" w:hAnsi="黑体" w:eastAsia="黑体"/>
        </w:rPr>
      </w:pPr>
      <w:r>
        <w:rPr>
          <w:rFonts w:hint="eastAsia" w:ascii="黑体" w:hAnsi="黑体" w:eastAsia="黑体"/>
        </w:rPr>
        <w:t>六、检查分组</w:t>
      </w:r>
    </w:p>
    <w:p>
      <w:pPr>
        <w:adjustRightInd w:val="0"/>
        <w:ind w:firstLine="624" w:firstLineChars="200"/>
        <w:rPr>
          <w:rFonts w:ascii="楷体" w:hAnsi="楷体" w:eastAsia="楷体"/>
        </w:rPr>
      </w:pPr>
      <w:r>
        <w:rPr>
          <w:rFonts w:hint="eastAsia" w:ascii="楷体" w:hAnsi="楷体" w:eastAsia="楷体"/>
        </w:rPr>
        <w:t>第一检查组：</w:t>
      </w:r>
    </w:p>
    <w:p>
      <w:pPr>
        <w:adjustRightInd w:val="0"/>
        <w:ind w:firstLine="624" w:firstLineChars="200"/>
      </w:pPr>
      <w:r>
        <w:rPr>
          <w:rFonts w:hint="eastAsia"/>
        </w:rPr>
        <w:t>组  长：张钰祥（自治区市场局党组成员、药监局党组书记、局长）</w:t>
      </w:r>
    </w:p>
    <w:p>
      <w:pPr>
        <w:adjustRightInd w:val="0"/>
        <w:ind w:firstLine="624" w:firstLineChars="200"/>
      </w:pPr>
      <w:r>
        <w:rPr>
          <w:rFonts w:hint="eastAsia"/>
        </w:rPr>
        <w:t>副组长：谢振明（自治区药监局执法稽查局副局长、三级调研员，联络员，电话：18909913675），王清玉（巴州市场局党组成员、副局长）</w:t>
      </w:r>
    </w:p>
    <w:p>
      <w:pPr>
        <w:adjustRightInd w:val="0"/>
        <w:ind w:firstLine="624" w:firstLineChars="200"/>
      </w:pPr>
      <w:r>
        <w:rPr>
          <w:rFonts w:hint="eastAsia"/>
        </w:rPr>
        <w:t>组  员：侯雅楠（自治区药监局药品流通监管处二级主任科员），许明杰（博州市场局药品医疗器械化妆品安全监管科副科长），被检查地监管部门一名监管人员配合。</w:t>
      </w:r>
    </w:p>
    <w:p>
      <w:pPr>
        <w:adjustRightInd w:val="0"/>
        <w:ind w:firstLine="624" w:firstLineChars="200"/>
      </w:pPr>
      <w:r>
        <w:rPr>
          <w:rFonts w:hint="eastAsia"/>
        </w:rPr>
        <w:t>检查地区：阿克苏地区（9家）、喀什地区（9家）、和田地区（1家）</w:t>
      </w:r>
    </w:p>
    <w:p>
      <w:pPr>
        <w:adjustRightInd w:val="0"/>
        <w:ind w:firstLine="624" w:firstLineChars="200"/>
        <w:rPr>
          <w:rFonts w:ascii="楷体" w:hAnsi="楷体" w:eastAsia="楷体"/>
        </w:rPr>
      </w:pPr>
      <w:r>
        <w:rPr>
          <w:rFonts w:hint="eastAsia" w:ascii="楷体" w:hAnsi="楷体" w:eastAsia="楷体"/>
        </w:rPr>
        <w:t>第二检查组：</w:t>
      </w:r>
    </w:p>
    <w:p>
      <w:pPr>
        <w:adjustRightInd w:val="0"/>
        <w:ind w:firstLine="624" w:firstLineChars="200"/>
      </w:pPr>
      <w:r>
        <w:rPr>
          <w:rFonts w:hint="eastAsia"/>
        </w:rPr>
        <w:t>组  长：王忠民（自治区药监局党组成员、副局长）</w:t>
      </w:r>
    </w:p>
    <w:p>
      <w:pPr>
        <w:adjustRightInd w:val="0"/>
        <w:ind w:firstLine="624" w:firstLineChars="200"/>
      </w:pPr>
      <w:r>
        <w:rPr>
          <w:rFonts w:hint="eastAsia"/>
        </w:rPr>
        <w:t>副组长：李颖（自治区审评查验中心主任，联络员，电话：13579863639），刘萍（喀什地区市场局药品总监）</w:t>
      </w:r>
    </w:p>
    <w:p>
      <w:pPr>
        <w:adjustRightInd w:val="0"/>
        <w:ind w:firstLine="624" w:firstLineChars="200"/>
      </w:pPr>
      <w:r>
        <w:rPr>
          <w:rFonts w:hint="eastAsia"/>
        </w:rPr>
        <w:t>组  员：阿力甫江·依明（自治区药监局药品流通监管处一级主任科员），李俐（哈密市市场局药化监管科长），被检查地监管部门一名监管人员配合。</w:t>
      </w:r>
    </w:p>
    <w:p>
      <w:pPr>
        <w:adjustRightInd w:val="0"/>
        <w:ind w:firstLine="624" w:firstLineChars="200"/>
      </w:pPr>
      <w:r>
        <w:rPr>
          <w:rFonts w:hint="eastAsia"/>
        </w:rPr>
        <w:t>检查地区：伊犁州（11家）、塔城地区（6家）、阿勒泰地区（13家）、博州（6家）</w:t>
      </w:r>
    </w:p>
    <w:p>
      <w:pPr>
        <w:adjustRightInd w:val="0"/>
        <w:ind w:firstLine="624" w:firstLineChars="200"/>
        <w:rPr>
          <w:rFonts w:ascii="楷体" w:hAnsi="楷体" w:eastAsia="楷体"/>
        </w:rPr>
      </w:pPr>
      <w:r>
        <w:rPr>
          <w:rFonts w:hint="eastAsia" w:ascii="楷体" w:hAnsi="楷体" w:eastAsia="楷体"/>
        </w:rPr>
        <w:t>第三检查组：</w:t>
      </w:r>
    </w:p>
    <w:p>
      <w:pPr>
        <w:adjustRightInd w:val="0"/>
        <w:ind w:firstLine="624" w:firstLineChars="200"/>
      </w:pPr>
      <w:r>
        <w:rPr>
          <w:rFonts w:hint="eastAsia"/>
        </w:rPr>
        <w:t>组  长：刘洪彬（自治区药监局党组成员、副局长）</w:t>
      </w:r>
    </w:p>
    <w:p>
      <w:pPr>
        <w:adjustRightInd w:val="0"/>
        <w:ind w:firstLine="624" w:firstLineChars="200"/>
      </w:pPr>
      <w:r>
        <w:rPr>
          <w:rFonts w:hint="eastAsia"/>
        </w:rPr>
        <w:t>副组长：余永强（自治区药监局药品流通监管处处长，联络员，电话：13999166679），刘杰（塔城地区市场局党组成员、副局长）</w:t>
      </w:r>
    </w:p>
    <w:p>
      <w:pPr>
        <w:adjustRightInd w:val="0"/>
        <w:ind w:firstLine="624" w:firstLineChars="200"/>
      </w:pPr>
      <w:r>
        <w:rPr>
          <w:rFonts w:hint="eastAsia"/>
        </w:rPr>
        <w:t>组  员：马磊（自治区药监局执法稽查局一级主任科员），铁凯（阿克苏地区市场局食药稽查支队干部），被检查地监管部门一名监管人员配合。</w:t>
      </w:r>
    </w:p>
    <w:p>
      <w:pPr>
        <w:adjustRightInd w:val="0"/>
        <w:ind w:firstLine="624" w:firstLineChars="200"/>
      </w:pPr>
      <w:r>
        <w:rPr>
          <w:rFonts w:hint="eastAsia"/>
        </w:rPr>
        <w:t>检查地区：乌鲁木齐市（27家）、昌吉州（6家）、克拉玛依市（1家）</w:t>
      </w:r>
    </w:p>
    <w:p>
      <w:pPr>
        <w:adjustRightInd w:val="0"/>
        <w:ind w:firstLine="624" w:firstLineChars="200"/>
        <w:rPr>
          <w:rFonts w:ascii="楷体" w:hAnsi="楷体" w:eastAsia="楷体"/>
        </w:rPr>
      </w:pPr>
      <w:r>
        <w:rPr>
          <w:rFonts w:hint="eastAsia" w:ascii="楷体" w:hAnsi="楷体" w:eastAsia="楷体"/>
        </w:rPr>
        <w:t>第四检查组：</w:t>
      </w:r>
    </w:p>
    <w:p>
      <w:pPr>
        <w:adjustRightInd w:val="0"/>
        <w:ind w:firstLine="624" w:firstLineChars="200"/>
      </w:pPr>
      <w:r>
        <w:rPr>
          <w:rFonts w:hint="eastAsia"/>
        </w:rPr>
        <w:t>组  长：李晋（自治区药监局药品安全总监）</w:t>
      </w:r>
    </w:p>
    <w:p>
      <w:pPr>
        <w:adjustRightInd w:val="0"/>
        <w:ind w:firstLine="624" w:firstLineChars="200"/>
      </w:pPr>
      <w:r>
        <w:rPr>
          <w:rFonts w:hint="eastAsia"/>
        </w:rPr>
        <w:t>副组长：田春海（自治区药监局药品生产监管处处长，联络员，电话：13201333398），王文杰（伊犁州市场局药品化妆品监管处处长）</w:t>
      </w:r>
    </w:p>
    <w:p>
      <w:pPr>
        <w:adjustRightInd w:val="0"/>
        <w:ind w:firstLine="624" w:firstLineChars="200"/>
      </w:pPr>
      <w:r>
        <w:rPr>
          <w:rFonts w:hint="eastAsia"/>
        </w:rPr>
        <w:t>组  员：阿曼（自治区审评查验中心干部），丁强（昌吉州市场局药械科科长），被检查地监管部门一名监管人员配合。</w:t>
      </w:r>
    </w:p>
    <w:p>
      <w:pPr>
        <w:adjustRightInd w:val="0"/>
        <w:ind w:firstLine="624" w:firstLineChars="200"/>
      </w:pPr>
      <w:r>
        <w:rPr>
          <w:rFonts w:hint="eastAsia"/>
        </w:rPr>
        <w:t>检查地区：哈密市（3家）、吐鲁番市（3家）、巴州（10家）</w:t>
      </w:r>
    </w:p>
    <w:p>
      <w:pPr>
        <w:adjustRightInd w:val="0"/>
        <w:ind w:firstLine="624" w:firstLineChars="200"/>
        <w:rPr>
          <w:rFonts w:ascii="黑体" w:hAnsi="黑体" w:eastAsia="黑体"/>
        </w:rPr>
      </w:pPr>
      <w:r>
        <w:rPr>
          <w:rFonts w:hint="eastAsia" w:ascii="黑体" w:hAnsi="黑体" w:eastAsia="黑体"/>
        </w:rPr>
        <w:t>七、有关要求</w:t>
      </w:r>
    </w:p>
    <w:p>
      <w:pPr>
        <w:adjustRightInd w:val="0"/>
        <w:ind w:firstLine="624" w:firstLineChars="200"/>
      </w:pPr>
      <w:r>
        <w:rPr>
          <w:rFonts w:hint="eastAsia" w:ascii="楷体" w:hAnsi="楷体" w:eastAsia="楷体"/>
        </w:rPr>
        <w:t>（一）强化工作落实。</w:t>
      </w:r>
      <w:r>
        <w:rPr>
          <w:rFonts w:hint="eastAsia"/>
        </w:rPr>
        <w:t>要提升政治站位，本着以人民为中心，贯彻落实社会稳定和长治久安总目标的高度，确实落实监管责任，采取有效措施，督促药品零售企业严格落实</w:t>
      </w:r>
      <w:r>
        <w:t>《药品</w:t>
      </w:r>
      <w:r>
        <w:rPr>
          <w:rFonts w:hint="eastAsia"/>
        </w:rPr>
        <w:t>管理法</w:t>
      </w:r>
      <w:r>
        <w:t>》</w:t>
      </w:r>
      <w:r>
        <w:rPr>
          <w:rFonts w:hint="eastAsia"/>
        </w:rPr>
        <w:t>《药品经营质量管理规范》《关于促进新疆维吾尔自治区药品零售企业健康发展意见（试行）的通知》等相关规定。</w:t>
      </w:r>
    </w:p>
    <w:p>
      <w:pPr>
        <w:adjustRightInd w:val="0"/>
        <w:ind w:firstLine="624" w:firstLineChars="200"/>
      </w:pPr>
      <w:r>
        <w:rPr>
          <w:rFonts w:hint="eastAsia" w:ascii="楷体" w:hAnsi="楷体" w:eastAsia="楷体"/>
        </w:rPr>
        <w:t>（二）强化监督检查。</w:t>
      </w:r>
      <w:r>
        <w:rPr>
          <w:rFonts w:hint="eastAsia"/>
        </w:rPr>
        <w:t>集中全局力量对辖区内药品零售连锁总部开展全覆盖检查，</w:t>
      </w:r>
      <w:r>
        <w:t>要</w:t>
      </w:r>
      <w:r>
        <w:rPr>
          <w:rFonts w:hint="eastAsia"/>
        </w:rPr>
        <w:t>坚持问题导向，加大执法力度，保持高压态势，对举报问题和线索逐一核实处理。严查重处违法违规行为，确实巩固专项整治成果，严防不法行为死灰复燃。</w:t>
      </w:r>
    </w:p>
    <w:p>
      <w:pPr>
        <w:adjustRightInd w:val="0"/>
        <w:ind w:firstLine="624" w:firstLineChars="200"/>
      </w:pPr>
      <w:r>
        <w:rPr>
          <w:rFonts w:hint="eastAsia" w:ascii="楷体" w:hAnsi="楷体" w:eastAsia="楷体"/>
        </w:rPr>
        <w:t>（三）加强宣传培训。</w:t>
      </w:r>
      <w:r>
        <w:rPr>
          <w:rFonts w:hint="eastAsia"/>
        </w:rPr>
        <w:t>增强监管部门和经营企业学法守法意识，进一步掌握药品监管新政策，领会法律修订精神，把握《药品管理法》《疫苗管理法》精神实质和主要内容，提高全区药品监管人员监督检查和执法能力水平，强化落实企业主体责任。积极进行宣传报道，主动公开工作进展和处理情况，及时回应社会，充分发挥群众监督作用，提高公众参与度。提升全社会对执业药师在保障用药安全、提升质量管理方面重要性的认识，</w:t>
      </w:r>
      <w:r>
        <w:t>强化社会监督。</w:t>
      </w:r>
    </w:p>
    <w:p>
      <w:pPr>
        <w:adjustRightInd w:val="0"/>
        <w:ind w:firstLine="624" w:firstLineChars="200"/>
      </w:pPr>
      <w:r>
        <w:rPr>
          <w:rFonts w:hint="eastAsia" w:ascii="楷体" w:hAnsi="楷体" w:eastAsia="楷体"/>
        </w:rPr>
        <w:t>（四）总结完善提高。</w:t>
      </w:r>
      <w:r>
        <w:rPr>
          <w:rFonts w:hint="eastAsia"/>
        </w:rPr>
        <w:t>按照整顿和规范相结合、专项行动和日常监管相结合的原则，立足建立长效监管机制，认真总结，针对监管薄弱环节和漏洞，剖析产生的深层次原因，进而完善制度，规范行政行为。</w:t>
      </w:r>
    </w:p>
    <w:p>
      <w:pPr>
        <w:adjustRightInd w:val="0"/>
        <w:ind w:firstLine="624" w:firstLineChars="200"/>
      </w:pPr>
      <w:r>
        <w:rPr>
          <w:rFonts w:hint="eastAsia"/>
        </w:rPr>
        <w:t>专项检查结束后，对检查情况进行总结，并于2020年10月31日前将相关情况反馈自治区药监局药品流通监管处。</w:t>
      </w:r>
    </w:p>
    <w:p>
      <w:pPr>
        <w:adjustRightInd w:val="0"/>
        <w:ind w:firstLine="624" w:firstLineChars="200"/>
      </w:pPr>
      <w:r>
        <w:rPr>
          <w:rFonts w:hint="eastAsia"/>
        </w:rPr>
        <w:t>联 系 人：侯雅楠</w:t>
      </w:r>
    </w:p>
    <w:p>
      <w:pPr>
        <w:adjustRightInd w:val="0"/>
        <w:ind w:firstLine="624" w:firstLineChars="200"/>
      </w:pPr>
      <w:r>
        <w:rPr>
          <w:rFonts w:hint="eastAsia"/>
        </w:rPr>
        <w:t>联系方式：0991—4336620（传真）</w:t>
      </w:r>
    </w:p>
    <w:p>
      <w:pPr>
        <w:adjustRightInd w:val="0"/>
        <w:ind w:firstLine="624" w:firstLineChars="200"/>
      </w:pPr>
      <w:r>
        <w:rPr>
          <w:rFonts w:hint="eastAsia"/>
        </w:rPr>
        <w:t>邮    箱：1905301758@qq.com</w:t>
      </w:r>
    </w:p>
    <w:p>
      <w:pPr>
        <w:adjustRightInd w:val="0"/>
        <w:ind w:firstLine="624" w:firstLineChars="200"/>
      </w:pPr>
    </w:p>
    <w:p>
      <w:pPr>
        <w:adjustRightInd w:val="0"/>
        <w:ind w:firstLine="624" w:firstLineChars="200"/>
      </w:pPr>
      <w:r>
        <w:rPr>
          <w:rFonts w:hint="eastAsia"/>
        </w:rPr>
        <w:t>附件：药品零售连锁总部企业名单</w:t>
      </w:r>
    </w:p>
    <w:p>
      <w:pPr>
        <w:adjustRightInd w:val="0"/>
        <w:rPr>
          <w:rFonts w:ascii="仿宋_GB2312"/>
        </w:rPr>
      </w:pPr>
    </w:p>
    <w:p>
      <w:pPr>
        <w:adjustRightInd w:val="0"/>
        <w:ind w:firstLine="624" w:firstLineChars="200"/>
        <w:sectPr>
          <w:footerReference r:id="rId3" w:type="default"/>
          <w:footerReference r:id="rId4" w:type="even"/>
          <w:pgSz w:w="11906" w:h="16838"/>
          <w:pgMar w:top="2098" w:right="1531" w:bottom="1985" w:left="1531" w:header="851" w:footer="1531" w:gutter="0"/>
          <w:cols w:space="425" w:num="1"/>
          <w:docGrid w:type="linesAndChars" w:linePitch="577" w:charSpace="-1683"/>
        </w:sectPr>
      </w:pPr>
    </w:p>
    <w:p>
      <w:pPr>
        <w:adjustRightInd w:val="0"/>
        <w:rPr>
          <w:rFonts w:ascii="黑体" w:hAnsi="黑体" w:eastAsia="黑体"/>
        </w:rPr>
      </w:pPr>
      <w:r>
        <w:rPr>
          <w:rFonts w:hint="eastAsia" w:ascii="黑体" w:hAnsi="黑体" w:eastAsia="黑体"/>
        </w:rPr>
        <w:t>附件</w:t>
      </w:r>
    </w:p>
    <w:p>
      <w:pPr>
        <w:adjustRightInd w:val="0"/>
        <w:rPr>
          <w:rFonts w:ascii="黑体" w:hAnsi="黑体" w:eastAsia="黑体"/>
        </w:rPr>
      </w:pPr>
    </w:p>
    <w:p>
      <w:pPr>
        <w:adjustRightInd w:val="0"/>
        <w:snapToGrid w:val="0"/>
        <w:jc w:val="center"/>
        <w:rPr>
          <w:rFonts w:ascii="方正小标宋_GBK" w:hAnsi="仿宋" w:eastAsia="方正小标宋_GBK"/>
          <w:sz w:val="44"/>
          <w:szCs w:val="44"/>
        </w:rPr>
      </w:pPr>
      <w:r>
        <w:rPr>
          <w:rFonts w:hint="eastAsia" w:ascii="方正小标宋_GBK" w:hAnsi="仿宋" w:eastAsia="方正小标宋_GBK"/>
          <w:sz w:val="44"/>
          <w:szCs w:val="44"/>
        </w:rPr>
        <w:t>药品零售连锁总部企业名单</w:t>
      </w:r>
    </w:p>
    <w:tbl>
      <w:tblPr>
        <w:tblStyle w:val="10"/>
        <w:tblW w:w="13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966"/>
        <w:gridCol w:w="4115"/>
        <w:gridCol w:w="7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830" w:type="dxa"/>
            <w:shd w:val="clear" w:color="auto" w:fill="auto"/>
            <w:vAlign w:val="center"/>
          </w:tcPr>
          <w:p>
            <w:pPr>
              <w:widowControl/>
              <w:adjustRightInd w:val="0"/>
              <w:snapToGrid w:val="0"/>
              <w:jc w:val="center"/>
              <w:rPr>
                <w:rFonts w:ascii="黑体" w:hAnsi="黑体" w:eastAsia="黑体" w:cs="宋体"/>
                <w:bCs/>
                <w:color w:val="000000" w:themeColor="text1"/>
                <w:kern w:val="0"/>
                <w:sz w:val="21"/>
                <w:szCs w:val="21"/>
                <w14:textFill>
                  <w14:solidFill>
                    <w14:schemeClr w14:val="tx1"/>
                  </w14:solidFill>
                </w14:textFill>
              </w:rPr>
            </w:pPr>
            <w:r>
              <w:rPr>
                <w:rFonts w:hint="eastAsia" w:ascii="黑体" w:hAnsi="黑体" w:eastAsia="黑体" w:cs="宋体"/>
                <w:bCs/>
                <w:color w:val="000000" w:themeColor="text1"/>
                <w:kern w:val="0"/>
                <w:sz w:val="21"/>
                <w:szCs w:val="21"/>
                <w14:textFill>
                  <w14:solidFill>
                    <w14:schemeClr w14:val="tx1"/>
                  </w14:solidFill>
                </w14:textFill>
              </w:rPr>
              <w:t>序号</w:t>
            </w:r>
          </w:p>
        </w:tc>
        <w:tc>
          <w:tcPr>
            <w:tcW w:w="966" w:type="dxa"/>
            <w:shd w:val="clear" w:color="auto" w:fill="auto"/>
            <w:vAlign w:val="center"/>
          </w:tcPr>
          <w:p>
            <w:pPr>
              <w:widowControl/>
              <w:adjustRightInd w:val="0"/>
              <w:snapToGrid w:val="0"/>
              <w:jc w:val="center"/>
              <w:rPr>
                <w:rFonts w:ascii="黑体" w:hAnsi="黑体" w:eastAsia="黑体" w:cs="宋体"/>
                <w:bCs/>
                <w:color w:val="000000" w:themeColor="text1"/>
                <w:kern w:val="0"/>
                <w:sz w:val="21"/>
                <w:szCs w:val="21"/>
                <w14:textFill>
                  <w14:solidFill>
                    <w14:schemeClr w14:val="tx1"/>
                  </w14:solidFill>
                </w14:textFill>
              </w:rPr>
            </w:pPr>
            <w:r>
              <w:rPr>
                <w:rFonts w:hint="eastAsia" w:ascii="黑体" w:hAnsi="黑体" w:eastAsia="黑体" w:cs="宋体"/>
                <w:bCs/>
                <w:color w:val="000000" w:themeColor="text1"/>
                <w:kern w:val="0"/>
                <w:sz w:val="21"/>
                <w:szCs w:val="21"/>
                <w14:textFill>
                  <w14:solidFill>
                    <w14:schemeClr w14:val="tx1"/>
                  </w14:solidFill>
                </w14:textFill>
              </w:rPr>
              <w:t>地区</w:t>
            </w:r>
          </w:p>
        </w:tc>
        <w:tc>
          <w:tcPr>
            <w:tcW w:w="4115" w:type="dxa"/>
            <w:shd w:val="clear" w:color="auto" w:fill="auto"/>
            <w:vAlign w:val="center"/>
          </w:tcPr>
          <w:p>
            <w:pPr>
              <w:widowControl/>
              <w:adjustRightInd w:val="0"/>
              <w:snapToGrid w:val="0"/>
              <w:jc w:val="center"/>
              <w:rPr>
                <w:rFonts w:ascii="黑体" w:hAnsi="黑体" w:eastAsia="黑体" w:cs="宋体"/>
                <w:bCs/>
                <w:color w:val="000000" w:themeColor="text1"/>
                <w:kern w:val="0"/>
                <w:sz w:val="21"/>
                <w:szCs w:val="21"/>
                <w14:textFill>
                  <w14:solidFill>
                    <w14:schemeClr w14:val="tx1"/>
                  </w14:solidFill>
                </w14:textFill>
              </w:rPr>
            </w:pPr>
            <w:r>
              <w:rPr>
                <w:rFonts w:hint="eastAsia" w:ascii="黑体" w:hAnsi="黑体" w:eastAsia="黑体" w:cs="宋体"/>
                <w:bCs/>
                <w:color w:val="000000" w:themeColor="text1"/>
                <w:kern w:val="0"/>
                <w:sz w:val="21"/>
                <w:szCs w:val="21"/>
                <w14:textFill>
                  <w14:solidFill>
                    <w14:schemeClr w14:val="tx1"/>
                  </w14:solidFill>
                </w14:textFill>
              </w:rPr>
              <w:t>企业名称</w:t>
            </w:r>
          </w:p>
        </w:tc>
        <w:tc>
          <w:tcPr>
            <w:tcW w:w="7810" w:type="dxa"/>
            <w:shd w:val="clear" w:color="auto" w:fill="auto"/>
            <w:vAlign w:val="center"/>
          </w:tcPr>
          <w:p>
            <w:pPr>
              <w:widowControl/>
              <w:adjustRightInd w:val="0"/>
              <w:snapToGrid w:val="0"/>
              <w:jc w:val="center"/>
              <w:rPr>
                <w:rFonts w:ascii="黑体" w:hAnsi="黑体" w:eastAsia="黑体" w:cs="宋体"/>
                <w:bCs/>
                <w:color w:val="000000" w:themeColor="text1"/>
                <w:kern w:val="0"/>
                <w:sz w:val="21"/>
                <w:szCs w:val="21"/>
                <w14:textFill>
                  <w14:solidFill>
                    <w14:schemeClr w14:val="tx1"/>
                  </w14:solidFill>
                </w14:textFill>
              </w:rPr>
            </w:pPr>
            <w:r>
              <w:rPr>
                <w:rFonts w:hint="eastAsia" w:ascii="黑体" w:hAnsi="黑体" w:eastAsia="黑体" w:cs="宋体"/>
                <w:bCs/>
                <w:color w:val="000000" w:themeColor="text1"/>
                <w:kern w:val="0"/>
                <w:sz w:val="21"/>
                <w:szCs w:val="21"/>
                <w14:textFill>
                  <w14:solidFill>
                    <w14:schemeClr w14:val="tx1"/>
                  </w14:solidFill>
                </w14:textFill>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新疆好又多医药连锁有限公司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新疆伊犁州伊宁市公园街40号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新疆欣嘉爱民医药连锁有限公司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新疆伊犁州伊宁市天山后街10号丰泽居综合楼二楼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新疆伊犁花城医药连锁有限责任公司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新疆伊犁州伊宁市江苏大道79号02-05-322号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伊犁陈济堂医药有限公司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伊宁市客管处安置地2-41-235号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伊犁大众医药连锁有限责任公司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新疆伊犁州伊宁市工人街四巷2号-2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伊犁康竑药业连锁有限公司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新疆伊宁县吉里格朗路99号后院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伊犁康之源药业连锁有限责任公司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新疆伊犁州伊宁市经济合作区天津路二毛工业园区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兵团奎屯健康大药房有限公司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新疆奎屯市阿克苏东路附50号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伊犁良生医药连锁有限公司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伊犁州伊宁市伊犁河南岸新区伊南大道原场干路7号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新疆广福堂医药连锁有限公司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新疆伊犁州奎屯市市区万通里-喀什东路56-2幢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伊犁康力医药连锁有限责任公司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新疆新源县环城东路199号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12</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塔城</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额敏县大众药品零售连锁有限公司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新疆塔城地区额敏县上户东路第八地段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沙湾县爱心药品零售连锁有限责任公司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沙湾县沙城路38号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塔城市益和堂医药连锁有限公司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新疆塔城地区塔城市新华街114号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乌苏市保康医药连锁有限责任公司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新疆塔城地区乌苏市中亚金谷物流园第6幢1单元101号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乌苏市君信医药连锁有限公司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乌苏市乌鲁木齐北路60号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乌苏市仁德医药连锁有限公司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乌伊路286号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18</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阿勒泰</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阿勒泰地区众心堂医药有限公司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新疆阿勒泰地区阿勒泰市北屯西北路原纤维板厂以东（北屯龙云农机公司后面）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阿勒泰天颐堂药业有限公司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新疆省阿勒泰市地区阿勒泰市北屯西北路明豪酒店负一层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北屯陈济堂医药有限公司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新疆阿勒泰地区阿勒泰市北屯西北路工业园区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北屯正峰医药有限公司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新疆阿勒泰地区阿勒泰市北屯镇西北路塞外江南小区一期1号楼3号门面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福海县百佳信药业有限公司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福海县团结南路医药公司2号住宅楼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富蕴县盛源堂医药连锁有限公司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富蕴县东风北路335号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富蕴县中心医药有限责任公司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新疆阿勒泰地区富蕴县文化东路58号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哈巴河县万康医药连锁有限公司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哈巴河县过境东路塞外明珠小区2号楼负一层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吉木乃县医药有限责任公司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新疆阿勒泰地区吉木乃县团结路一 &lt;F&gt;三楼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27</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阿勒泰</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新疆祥泰合医药有限公司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新疆阿勒泰地区哈巴河县团结路3-2号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28</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布尔津县医药公司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布尔津县友谊峰路13号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29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富蕴县福蕴医药连锁有限公司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新疆阿勒泰地区富蕴县城南物流园A区4号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国药控股新疆阿勒泰药业有限公司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新疆阿勒泰地区阿勒泰市文化路2区101栋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31</w:t>
            </w:r>
          </w:p>
        </w:tc>
        <w:tc>
          <w:tcPr>
            <w:tcW w:w="966" w:type="dxa"/>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克拉</w:t>
            </w:r>
          </w:p>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玛依</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新疆利康药业连锁有限公司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xml:space="preserve">克拉玛依市天山路108号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32</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博州</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博尔塔拉蒙古自治州普济堂医药销售有限公司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新疆博州博乐市南城区赛里木湖路30号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博尔塔拉蒙古自治州永康药业有限公司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 xml:space="preserve">新疆博州博乐市青得里乡巴勒特合尔村昌平路29号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新疆百济药品销售有限公司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新疆博乐市红星路（水岸丽景1-10号）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博乐市广达医药销售有限则公司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新疆博州博乐市东工业区纵二路阳光热力公司西侧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新疆天天好医药连锁有限公司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新疆博州博乐市南城区（州客运站东南1.3公里处）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新疆华康仁德医药连锁有限责任公司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新疆博尔塔拉蒙古自治州精河县精河镇伊犁路北侧滨河青城花园小区20幢负一层2号商铺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38</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昌吉市达康医药连锁有限责任公司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新疆昌吉州昌吉市三工镇长胜村八组（面积：300平方米）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39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新疆爱心连锁药店有限公司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昌吉市北京南路80号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新疆恒顺堂医药连锁有限公司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新疆昌吉州昌吉市大西渠镇幸福村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新疆惠生堂医药连锁有限公司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昌吉市宁边西路94号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42</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新疆金匮医药连锁有限责任公司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新疆昌吉州昌吉市大西渠镇闽昌工业园幸福路南侧301号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昌吉州知青医药连锁有限公司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玛纳斯县中华路486号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44</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w:t>
            </w:r>
          </w:p>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木齐</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国药控股国大药房新疆新特药业连锁有限责任公司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新疆乌鲁木齐市水磨沟区安居北路215号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国药控股新疆新特药专业药房连锁有限公司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新疆乌鲁木齐市水磨沟区安居北路215号2栋1层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乌鲁木齐鸿玺堂医药连锁有限公司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新疆乌鲁木齐市米东区十八坡南路2760号1栋三层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新疆百草堂医药连锁经销有限公司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新疆乌鲁木齐市天山区新华南路578号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48</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新疆广善堂医药连锁有限公司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新疆乌鲁木齐市水磨沟区昆仑路95号配楼301室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49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新疆好健康医药连锁有限公司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新疆乌鲁木齐经济技术开发区（头屯河区）萨尔达坂乡西泉街777号万泰阳光城小区10号楼9号商铺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新疆金达康医药零售连锁有限公司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新疆乌鲁木齐市水磨沟区七道湾南路西十一巷6号（三楼）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新疆康泰东方医药连锁有限公司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新疆乌鲁木齐市沙依巴克区克拉玛依东街390号深圳城大厦负一层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新疆老君堂医药连锁经销有限公司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新疆乌鲁木齐经济技术开发区吉林街28号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新疆美康医药零售连锁有限公司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新疆乌鲁木齐高新技术产业开发区（新市区）曲扬街418号新疆希望电子5层505、518室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新疆普济堂医药零售连锁有限公司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乌鲁木齐市新市区西八家户路670号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新疆天天康医药零售连锁有限公司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乌石化三区A座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新疆天元医药零售连锁有限责任公司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乌市米东区博知路1275号乌石化十七区2-3-201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新疆万盛堂医药零售连锁有限责任公司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乌鲁木齐市水磨沟区昆仑东街218号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58</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w:t>
            </w:r>
          </w:p>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木齐</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新疆西部疆盟医药零售连锁有限责任公司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新疆乌鲁木齐市米东区太平路东工南一巷21号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59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新疆新卫同仁药业零售连锁有限责任公司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乌鲁木齐市米东区益民西街818号负一层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新疆颐仁堂医药连锁有限公司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乌鲁木齐市新市区鲤鱼山北路298号领世华府2-2204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新疆易家康医药连锁有限公司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新疆乌鲁木齐市经济技术开发区大别山街333号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新疆众仁康医药零售连锁有限公司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新疆乌鲁木齐市天山区团结路1669号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新疆众友健康连锁药店有限公司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新疆乌鲁木齐市水磨沟区腾汇一路101号检测中心1栋展厅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新疆九疆红医药连锁有限公司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新疆乌鲁木齐市米东区古牧地镇东工村七队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65</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新疆福乐康宁医药连锁有限公司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新疆乌鲁木齐市米东区碱沟西路477号14栋2至4层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乌鲁木齐民健医药连锁有限公司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新疆乌市头区八一路278号2层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新疆鑫众康源医药零售连锁有限公司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新疆乌鲁木齐市米东区东华南路58巷26号29排10号12号2层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68</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新疆济康大药房医药连锁有限责任公司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新疆乌鲁木齐市沙依巴克区宝山路219号商铺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69</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哈密</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哈密仁安堂药品零售连锁有限责任公司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新疆哈密市伊州区北郊路19号院独立商业1-8号二层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哈密神农药品零售连锁有限责任公司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新疆哈密市伊州区阿牙路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哈密市汇泰药品零售连锁有限公司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新疆哈密市伊州区前进西路锦绣园物业楼二楼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72</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吐鲁番</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吐鲁番市百川通医药零售连锁有限公司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新疆吐鲁番市鄯善县新城东路知青农场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吐鲁番市康悦医药连锁有限公司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新疆吐鲁番市高昌区示范区</w:t>
            </w:r>
            <w:r>
              <w:rPr>
                <w:rFonts w:hint="eastAsia" w:cs="宋体" w:asciiTheme="minorEastAsia" w:hAnsiTheme="minorEastAsia" w:eastAsiaTheme="minorEastAsia"/>
                <w:color w:val="000000" w:themeColor="text1"/>
                <w:kern w:val="0"/>
                <w:sz w:val="21"/>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 w:val="21"/>
                <w:szCs w:val="21"/>
                <w14:textFill>
                  <w14:solidFill>
                    <w14:schemeClr w14:val="tx1"/>
                  </w14:solidFill>
                </w14:textFill>
              </w:rPr>
              <w:t>洋海路2233号阳光商城2号楼-101室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吐鲁番国药药材药品零售连锁有限公司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新疆吐鲁番市高昌区西洲西路北侧、洪江路西侧办公楼一层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75</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巴州百心医药连锁有限公司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库尔勒市塔指东路（北园春旁）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76</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巴州利民医药连锁有限公司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新疆巴州和静县团结西路新兴大厦1栋四层西1号房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77</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巴州普仁堂医药连锁有限公司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新疆巴州尉犁县农业局院内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78</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巴州仁和药品销售连锁有限公司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轮台县博斯坦路供销社-1＃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79</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巴州盛康医药连锁有限公司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新疆巴州博湖县中华路以西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80</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巴州永安堂医药零售连锁有限公司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新疆巴州库尔勒市天山西路老314国道农二师燃料公司旁（原西郊民族风情园）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81</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新疆致善堂医药连锁有限公司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新疆巴州库尔勒市新华路49-6号柠檬公寓1栋-1层1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巴州广济堂医药连锁有限公司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新疆巴州焉耆县新桥路华鑫房产1号楼负1楼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新疆康宁医药连锁医药连锁有限公司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库尔勒市交通西路10号锦秀华庭三楼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84</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巴州福宁医药连锁有限公司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新疆巴州尉犁县向阳广场孔雀路331号2号楼01号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85</w:t>
            </w:r>
          </w:p>
        </w:tc>
        <w:tc>
          <w:tcPr>
            <w:tcW w:w="966" w:type="dxa"/>
            <w:vMerge w:val="restart"/>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阿克苏百福医药连锁有限责任公司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阿克苏市经济技术开发区西湖路西侧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86</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阿克苏老百姓医药连锁有限公司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新疆阿克苏地区库车县乌尊镇中学以南200米处、规划道路以东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87</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阿克苏腾龙药业零售连锁有限责任公司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新疆阿克苏地区阿克苏市栏杆路47号门洞北侧一楼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88</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库车神州药品零售连锁有限责任公司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新疆阿克苏地区库车县天山路395号（喀什站内）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89</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新疆普安堂药品有限公司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新疆阿克苏地区库车县乌尊镇中学以南，规划道路以东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90</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新疆神木药品零售连锁有限责任公司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新疆阿克苏地区阿克苏纺织工业城（开发区）温州路1号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91</w:t>
            </w:r>
          </w:p>
        </w:tc>
        <w:tc>
          <w:tcPr>
            <w:tcW w:w="966" w:type="dxa"/>
            <w:vMerge w:val="restart"/>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新疆药业集团福仁医药连锁有限责任公司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新疆阿克苏地区温宿县城东大街6号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92</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阿克苏地区仁合本草医药连锁有限公司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新疆阿克苏地区新和县工业园区北路新疆中天彩印包装有限公司院内办公室一楼北侧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93</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新疆达欣隆医药连锁有限公司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阿克苏市经济技术开发区西湖路西侧新疆联谊药业有限公司办公楼1层101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94</w:t>
            </w:r>
          </w:p>
        </w:tc>
        <w:tc>
          <w:tcPr>
            <w:tcW w:w="966" w:type="dxa"/>
            <w:vMerge w:val="restart"/>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国药控股喀什新特药业零售连锁有限公司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疏勒县南疆齐鲁工业园区泰山路010号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95</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喀什利民医药零售连锁有限公司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新疆喀什地区喀什市多来提巴格乡2村1组37号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96</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喀什全济堂医药连锁有限公司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新疆喀什地区麦盖提县巴扎吉米乡库台克力克村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97</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喀什同心堂医药零售连锁有限公司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新疆喀什泽普县天伦乐园10号楼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98</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神康医药连锁有限公司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新疆喀什地区伽师县人民路文化旅游商业街13栋二层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99</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喀什福康医药连锁有限公司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新疆喀什地区英吉沙县工业园区雅森路3号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100</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喀什惠生堂医药连锁有限责任公司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喀什市慕士塔格路东侧自来水二厂南侧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101</w:t>
            </w:r>
          </w:p>
        </w:tc>
        <w:tc>
          <w:tcPr>
            <w:tcW w:w="966" w:type="dxa"/>
            <w:vMerge w:val="continue"/>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新疆慈安堂医药连锁有限公司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喀什地区疏勒县山东物流园贸易区鑫旺路8号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102</w:t>
            </w:r>
          </w:p>
        </w:tc>
        <w:tc>
          <w:tcPr>
            <w:tcW w:w="966" w:type="dxa"/>
            <w:vMerge w:val="continue"/>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新疆海王麦德信医药连锁有限责任公司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新疆喀什地区疏勒县山东物流园贸易区邻渠路3号办公楼2楼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103</w:t>
            </w:r>
          </w:p>
        </w:tc>
        <w:tc>
          <w:tcPr>
            <w:tcW w:w="966" w:type="dxa"/>
            <w:shd w:val="clear" w:color="auto" w:fill="auto"/>
            <w:vAlign w:val="center"/>
          </w:tcPr>
          <w:p>
            <w:pPr>
              <w:widowControl/>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和田</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和田地区安康医药零售连锁有限责任公司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新疆和田市北京东路2号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104</w:t>
            </w:r>
          </w:p>
        </w:tc>
        <w:tc>
          <w:tcPr>
            <w:tcW w:w="966" w:type="dxa"/>
            <w:vMerge w:val="restart"/>
            <w:shd w:val="clear" w:color="auto" w:fill="auto"/>
            <w:vAlign w:val="center"/>
          </w:tcPr>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批零</w:t>
            </w:r>
          </w:p>
          <w:p>
            <w:pPr>
              <w:adjustRightInd w:val="0"/>
              <w:snapToGrid w:val="0"/>
              <w:jc w:val="center"/>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一体</w:t>
            </w: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新疆九州通医药有限公司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乌鲁木齐市高新技术开发区长春南路1199号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30" w:type="dxa"/>
            <w:shd w:val="clear" w:color="auto" w:fill="auto"/>
            <w:vAlign w:val="center"/>
          </w:tcPr>
          <w:p>
            <w:pPr>
              <w:adjustRightInd w:val="0"/>
              <w:snapToGrid w:val="0"/>
              <w:jc w:val="center"/>
              <w:rPr>
                <w:rFonts w:asciiTheme="minorEastAsia" w:hAnsiTheme="minorEastAsia" w:eastAsiaTheme="minorEastAsia"/>
                <w:sz w:val="21"/>
                <w:szCs w:val="21"/>
              </w:rPr>
            </w:pPr>
            <w:r>
              <w:rPr>
                <w:rFonts w:asciiTheme="minorEastAsia" w:hAnsiTheme="minorEastAsia" w:eastAsiaTheme="minorEastAsia"/>
                <w:sz w:val="21"/>
                <w:szCs w:val="21"/>
              </w:rPr>
              <w:t>105</w:t>
            </w:r>
          </w:p>
        </w:tc>
        <w:tc>
          <w:tcPr>
            <w:tcW w:w="966" w:type="dxa"/>
            <w:vMerge w:val="continue"/>
            <w:shd w:val="clear" w:color="auto" w:fill="auto"/>
            <w:vAlign w:val="center"/>
          </w:tcPr>
          <w:p>
            <w:pPr>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p>
        </w:tc>
        <w:tc>
          <w:tcPr>
            <w:tcW w:w="4115"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新疆济康大药房医药连锁有限责任公司</w:t>
            </w:r>
          </w:p>
        </w:tc>
        <w:tc>
          <w:tcPr>
            <w:tcW w:w="7810" w:type="dxa"/>
            <w:shd w:val="clear" w:color="auto" w:fill="auto"/>
            <w:vAlign w:val="center"/>
          </w:tcPr>
          <w:p>
            <w:pPr>
              <w:widowControl/>
              <w:adjustRightInd w:val="0"/>
              <w:snapToGrid w:val="0"/>
              <w:rPr>
                <w:rFonts w:cs="宋体" w:asciiTheme="minorEastAsia" w:hAnsiTheme="minorEastAsia" w:eastAsiaTheme="minorEastAsia"/>
                <w:color w:val="000000" w:themeColor="text1"/>
                <w:kern w:val="0"/>
                <w:sz w:val="21"/>
                <w:szCs w:val="21"/>
                <w14:textFill>
                  <w14:solidFill>
                    <w14:schemeClr w14:val="tx1"/>
                  </w14:solidFill>
                </w14:textFill>
              </w:rPr>
            </w:pPr>
            <w:r>
              <w:rPr>
                <w:rFonts w:hint="eastAsia" w:cs="宋体" w:asciiTheme="minorEastAsia" w:hAnsiTheme="minorEastAsia" w:eastAsiaTheme="minorEastAsia"/>
                <w:color w:val="000000" w:themeColor="text1"/>
                <w:kern w:val="0"/>
                <w:sz w:val="21"/>
                <w:szCs w:val="21"/>
                <w14:textFill>
                  <w14:solidFill>
                    <w14:schemeClr w14:val="tx1"/>
                  </w14:solidFill>
                </w14:textFill>
              </w:rPr>
              <w:t>新疆乌鲁木齐市沙依巴克区宝山路219号商铺</w:t>
            </w:r>
          </w:p>
        </w:tc>
      </w:tr>
    </w:tbl>
    <w:p>
      <w:pPr>
        <w:adjustRightInd w:val="0"/>
      </w:pPr>
    </w:p>
    <w:p>
      <w:pPr>
        <w:adjustRightInd w:val="0"/>
        <w:spacing w:line="260" w:lineRule="exact"/>
        <w:ind w:firstLine="360" w:firstLineChars="200"/>
        <w:rPr>
          <w:rFonts w:asciiTheme="minorEastAsia" w:hAnsiTheme="minorEastAsia" w:eastAsiaTheme="minorEastAsia"/>
          <w:sz w:val="18"/>
          <w:szCs w:val="18"/>
        </w:rPr>
        <w:sectPr>
          <w:footerReference r:id="rId5" w:type="default"/>
          <w:footerReference r:id="rId6" w:type="even"/>
          <w:pgSz w:w="16838" w:h="11906" w:orient="landscape"/>
          <w:pgMar w:top="2098" w:right="1531" w:bottom="1985" w:left="1531" w:header="851" w:footer="1531" w:gutter="0"/>
          <w:cols w:space="425" w:num="1"/>
          <w:docGrid w:type="lines" w:linePitch="577" w:charSpace="-1683"/>
        </w:sectPr>
      </w:pPr>
    </w:p>
    <w:p>
      <w:pPr>
        <w:adjustRightInd w:val="0"/>
      </w:pPr>
    </w:p>
    <w:p>
      <w:pPr>
        <w:adjustRightInd w:val="0"/>
      </w:pPr>
    </w:p>
    <w:p>
      <w:pPr>
        <w:adjustRightInd w:val="0"/>
        <w:spacing w:line="400" w:lineRule="exact"/>
        <w:ind w:firstLine="624" w:firstLineChars="200"/>
        <w:rPr>
          <w:rFonts w:ascii="仿宋_GB2312"/>
        </w:rPr>
      </w:pPr>
    </w:p>
    <w:p>
      <w:pPr>
        <w:adjustRightInd w:val="0"/>
        <w:rPr>
          <w:rFonts w:hAnsi="仿宋"/>
        </w:rPr>
      </w:pPr>
    </w:p>
    <w:p>
      <w:pPr>
        <w:adjustRightInd w:val="0"/>
        <w:rPr>
          <w:rFonts w:hAnsi="仿宋"/>
        </w:rPr>
      </w:pPr>
    </w:p>
    <w:p>
      <w:pPr>
        <w:adjustRightInd w:val="0"/>
        <w:rPr>
          <w:rFonts w:hAnsi="仿宋"/>
        </w:rPr>
      </w:pPr>
    </w:p>
    <w:p>
      <w:pPr>
        <w:adjustRightInd w:val="0"/>
        <w:rPr>
          <w:rFonts w:hAnsi="仿宋"/>
        </w:rPr>
      </w:pPr>
    </w:p>
    <w:p>
      <w:pPr>
        <w:adjustRightInd w:val="0"/>
        <w:rPr>
          <w:rFonts w:hAnsi="仿宋"/>
        </w:rPr>
      </w:pPr>
    </w:p>
    <w:p>
      <w:pPr>
        <w:adjustRightInd w:val="0"/>
        <w:rPr>
          <w:rFonts w:hAnsi="仿宋"/>
        </w:rPr>
      </w:pPr>
    </w:p>
    <w:p>
      <w:pPr>
        <w:adjustRightInd w:val="0"/>
        <w:rPr>
          <w:rFonts w:hAnsi="仿宋"/>
        </w:rPr>
      </w:pPr>
    </w:p>
    <w:bookmarkEnd w:id="0"/>
    <w:p>
      <w:pPr>
        <w:adjustRightInd w:val="0"/>
        <w:snapToGrid w:val="0"/>
        <w:spacing w:line="60" w:lineRule="exact"/>
        <w:rPr>
          <w:sz w:val="21"/>
          <w:szCs w:val="21"/>
        </w:rPr>
      </w:pPr>
      <w:bookmarkStart w:id="1" w:name="_GoBack"/>
      <w:bookmarkEnd w:id="1"/>
    </w:p>
    <w:sectPr>
      <w:footerReference r:id="rId7" w:type="default"/>
      <w:footerReference r:id="rId8" w:type="even"/>
      <w:pgSz w:w="11906" w:h="16838"/>
      <w:pgMar w:top="2098" w:right="1531" w:bottom="1985" w:left="1531" w:header="851" w:footer="1531" w:gutter="0"/>
      <w:cols w:space="425" w:num="1"/>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right="320" w:rightChars="100"/>
      <w:jc w:val="righ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5</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jc w:val="lef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8</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right="320" w:rightChars="100"/>
      <w:jc w:val="center"/>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15</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jc w:val="center"/>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14</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7"/>
    <w:rsid w:val="00002D34"/>
    <w:rsid w:val="000120BC"/>
    <w:rsid w:val="00014429"/>
    <w:rsid w:val="00015917"/>
    <w:rsid w:val="00040A5B"/>
    <w:rsid w:val="00041F44"/>
    <w:rsid w:val="0004724F"/>
    <w:rsid w:val="00053A2E"/>
    <w:rsid w:val="0007041A"/>
    <w:rsid w:val="0007653D"/>
    <w:rsid w:val="000856E5"/>
    <w:rsid w:val="000942A5"/>
    <w:rsid w:val="000A37A1"/>
    <w:rsid w:val="000A5804"/>
    <w:rsid w:val="000C0AA3"/>
    <w:rsid w:val="000C6EBB"/>
    <w:rsid w:val="000D1287"/>
    <w:rsid w:val="000D365E"/>
    <w:rsid w:val="000F36B4"/>
    <w:rsid w:val="00105593"/>
    <w:rsid w:val="0011399C"/>
    <w:rsid w:val="00122BC4"/>
    <w:rsid w:val="00124E49"/>
    <w:rsid w:val="00125B23"/>
    <w:rsid w:val="00156522"/>
    <w:rsid w:val="00162F12"/>
    <w:rsid w:val="0016475D"/>
    <w:rsid w:val="00167CEB"/>
    <w:rsid w:val="00177370"/>
    <w:rsid w:val="001A356E"/>
    <w:rsid w:val="001A7447"/>
    <w:rsid w:val="001D00EB"/>
    <w:rsid w:val="001F1B20"/>
    <w:rsid w:val="00205343"/>
    <w:rsid w:val="00233295"/>
    <w:rsid w:val="002467AB"/>
    <w:rsid w:val="0025188F"/>
    <w:rsid w:val="002667A0"/>
    <w:rsid w:val="00271286"/>
    <w:rsid w:val="00271ADF"/>
    <w:rsid w:val="00271C27"/>
    <w:rsid w:val="002732C2"/>
    <w:rsid w:val="00280D8D"/>
    <w:rsid w:val="002B2CDF"/>
    <w:rsid w:val="002C2CFC"/>
    <w:rsid w:val="002C5D2D"/>
    <w:rsid w:val="002D6696"/>
    <w:rsid w:val="002E6E18"/>
    <w:rsid w:val="002E7951"/>
    <w:rsid w:val="002F1CD1"/>
    <w:rsid w:val="002F62FD"/>
    <w:rsid w:val="003234E3"/>
    <w:rsid w:val="00327042"/>
    <w:rsid w:val="003371FF"/>
    <w:rsid w:val="00337CCC"/>
    <w:rsid w:val="00345B3C"/>
    <w:rsid w:val="00357826"/>
    <w:rsid w:val="00365AD4"/>
    <w:rsid w:val="00372450"/>
    <w:rsid w:val="00381747"/>
    <w:rsid w:val="003A1984"/>
    <w:rsid w:val="003A33B2"/>
    <w:rsid w:val="003B6FE3"/>
    <w:rsid w:val="003C7545"/>
    <w:rsid w:val="003E3327"/>
    <w:rsid w:val="004208AE"/>
    <w:rsid w:val="004334C8"/>
    <w:rsid w:val="00446B3F"/>
    <w:rsid w:val="00453D76"/>
    <w:rsid w:val="00464C6A"/>
    <w:rsid w:val="00466B09"/>
    <w:rsid w:val="00477EA0"/>
    <w:rsid w:val="00485A20"/>
    <w:rsid w:val="004929AE"/>
    <w:rsid w:val="004A4AE8"/>
    <w:rsid w:val="004B4A95"/>
    <w:rsid w:val="004C3740"/>
    <w:rsid w:val="00506520"/>
    <w:rsid w:val="005112F9"/>
    <w:rsid w:val="005114BF"/>
    <w:rsid w:val="00515524"/>
    <w:rsid w:val="005162B8"/>
    <w:rsid w:val="00526500"/>
    <w:rsid w:val="00532C9B"/>
    <w:rsid w:val="00537601"/>
    <w:rsid w:val="00550FDC"/>
    <w:rsid w:val="00576141"/>
    <w:rsid w:val="005867A2"/>
    <w:rsid w:val="005913B7"/>
    <w:rsid w:val="005A1BCF"/>
    <w:rsid w:val="005A1E97"/>
    <w:rsid w:val="005A65D1"/>
    <w:rsid w:val="005A72DF"/>
    <w:rsid w:val="005B2290"/>
    <w:rsid w:val="005C2E82"/>
    <w:rsid w:val="005D11E8"/>
    <w:rsid w:val="005D6155"/>
    <w:rsid w:val="005F370A"/>
    <w:rsid w:val="00600A22"/>
    <w:rsid w:val="00607864"/>
    <w:rsid w:val="00610090"/>
    <w:rsid w:val="006105A0"/>
    <w:rsid w:val="00610BDB"/>
    <w:rsid w:val="006143EE"/>
    <w:rsid w:val="006217D2"/>
    <w:rsid w:val="00660F4F"/>
    <w:rsid w:val="00667C74"/>
    <w:rsid w:val="006855B0"/>
    <w:rsid w:val="006A0DFF"/>
    <w:rsid w:val="006A5CAA"/>
    <w:rsid w:val="006C0574"/>
    <w:rsid w:val="006D33A0"/>
    <w:rsid w:val="006E48EB"/>
    <w:rsid w:val="006E5F30"/>
    <w:rsid w:val="006E7E3E"/>
    <w:rsid w:val="006F1A1F"/>
    <w:rsid w:val="00702B62"/>
    <w:rsid w:val="007075BB"/>
    <w:rsid w:val="00711371"/>
    <w:rsid w:val="007132F3"/>
    <w:rsid w:val="0071407C"/>
    <w:rsid w:val="00715278"/>
    <w:rsid w:val="00744D91"/>
    <w:rsid w:val="007652BB"/>
    <w:rsid w:val="00773038"/>
    <w:rsid w:val="007C1694"/>
    <w:rsid w:val="007D13F5"/>
    <w:rsid w:val="007E3767"/>
    <w:rsid w:val="007F6FA7"/>
    <w:rsid w:val="00802C85"/>
    <w:rsid w:val="008033A4"/>
    <w:rsid w:val="00815B3E"/>
    <w:rsid w:val="00816171"/>
    <w:rsid w:val="008218B1"/>
    <w:rsid w:val="00825D78"/>
    <w:rsid w:val="0087040E"/>
    <w:rsid w:val="00875DCD"/>
    <w:rsid w:val="008838DC"/>
    <w:rsid w:val="00885AAA"/>
    <w:rsid w:val="008C426F"/>
    <w:rsid w:val="008D3141"/>
    <w:rsid w:val="008E5BBA"/>
    <w:rsid w:val="008F6D5E"/>
    <w:rsid w:val="00904846"/>
    <w:rsid w:val="0090698E"/>
    <w:rsid w:val="00907CC3"/>
    <w:rsid w:val="009267BE"/>
    <w:rsid w:val="00927213"/>
    <w:rsid w:val="00931DF9"/>
    <w:rsid w:val="00935EF7"/>
    <w:rsid w:val="00945FA2"/>
    <w:rsid w:val="00967DA3"/>
    <w:rsid w:val="009812F1"/>
    <w:rsid w:val="009C52B2"/>
    <w:rsid w:val="009C7DC6"/>
    <w:rsid w:val="009D635D"/>
    <w:rsid w:val="009F016C"/>
    <w:rsid w:val="00A167D1"/>
    <w:rsid w:val="00A272E1"/>
    <w:rsid w:val="00A43DD5"/>
    <w:rsid w:val="00A441EA"/>
    <w:rsid w:val="00A52D86"/>
    <w:rsid w:val="00AB00E6"/>
    <w:rsid w:val="00AB388E"/>
    <w:rsid w:val="00AB3D19"/>
    <w:rsid w:val="00AC4947"/>
    <w:rsid w:val="00AF5F7D"/>
    <w:rsid w:val="00B106E1"/>
    <w:rsid w:val="00B273B7"/>
    <w:rsid w:val="00B463FA"/>
    <w:rsid w:val="00B5677D"/>
    <w:rsid w:val="00B6206D"/>
    <w:rsid w:val="00B7552F"/>
    <w:rsid w:val="00B8075C"/>
    <w:rsid w:val="00BA5E19"/>
    <w:rsid w:val="00BC17B1"/>
    <w:rsid w:val="00BE5F17"/>
    <w:rsid w:val="00BF6AEA"/>
    <w:rsid w:val="00C123A1"/>
    <w:rsid w:val="00C23338"/>
    <w:rsid w:val="00C24241"/>
    <w:rsid w:val="00C30697"/>
    <w:rsid w:val="00C321EC"/>
    <w:rsid w:val="00C60DBC"/>
    <w:rsid w:val="00C66DC2"/>
    <w:rsid w:val="00C761C8"/>
    <w:rsid w:val="00C83CD6"/>
    <w:rsid w:val="00C85DD7"/>
    <w:rsid w:val="00C874D6"/>
    <w:rsid w:val="00C97F86"/>
    <w:rsid w:val="00CA2843"/>
    <w:rsid w:val="00CA4D85"/>
    <w:rsid w:val="00CB0DF4"/>
    <w:rsid w:val="00CB49F2"/>
    <w:rsid w:val="00CB50A8"/>
    <w:rsid w:val="00CB758D"/>
    <w:rsid w:val="00CC429E"/>
    <w:rsid w:val="00CC6F0C"/>
    <w:rsid w:val="00CE5D42"/>
    <w:rsid w:val="00CF42B4"/>
    <w:rsid w:val="00D10907"/>
    <w:rsid w:val="00D12A5D"/>
    <w:rsid w:val="00D24FC7"/>
    <w:rsid w:val="00D33FBD"/>
    <w:rsid w:val="00D4177C"/>
    <w:rsid w:val="00D43F29"/>
    <w:rsid w:val="00D57328"/>
    <w:rsid w:val="00D627B6"/>
    <w:rsid w:val="00D93F78"/>
    <w:rsid w:val="00DA0E82"/>
    <w:rsid w:val="00DA3E36"/>
    <w:rsid w:val="00DA7135"/>
    <w:rsid w:val="00DB0483"/>
    <w:rsid w:val="00DC609E"/>
    <w:rsid w:val="00DD2D92"/>
    <w:rsid w:val="00DD50AD"/>
    <w:rsid w:val="00DF06B8"/>
    <w:rsid w:val="00DF76AB"/>
    <w:rsid w:val="00E01A4A"/>
    <w:rsid w:val="00E07DF0"/>
    <w:rsid w:val="00E21DC9"/>
    <w:rsid w:val="00E25F35"/>
    <w:rsid w:val="00E3439F"/>
    <w:rsid w:val="00E402D6"/>
    <w:rsid w:val="00E470C5"/>
    <w:rsid w:val="00E47277"/>
    <w:rsid w:val="00E50092"/>
    <w:rsid w:val="00E62AA1"/>
    <w:rsid w:val="00E674B4"/>
    <w:rsid w:val="00E77DE3"/>
    <w:rsid w:val="00E824EA"/>
    <w:rsid w:val="00E82B33"/>
    <w:rsid w:val="00E94233"/>
    <w:rsid w:val="00ED39F7"/>
    <w:rsid w:val="00F01A4D"/>
    <w:rsid w:val="00F02525"/>
    <w:rsid w:val="00F4643D"/>
    <w:rsid w:val="00F5736B"/>
    <w:rsid w:val="00F616BE"/>
    <w:rsid w:val="00F73831"/>
    <w:rsid w:val="00F751E2"/>
    <w:rsid w:val="00F90858"/>
    <w:rsid w:val="00F978FF"/>
    <w:rsid w:val="00FA15C4"/>
    <w:rsid w:val="00FA4AD2"/>
    <w:rsid w:val="00FD1FD6"/>
    <w:rsid w:val="00FE67E1"/>
    <w:rsid w:val="0E9C1E8A"/>
    <w:rsid w:val="4A316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paragraph" w:styleId="2">
    <w:name w:val="heading 1"/>
    <w:basedOn w:val="1"/>
    <w:next w:val="1"/>
    <w:link w:val="18"/>
    <w:qFormat/>
    <w:uiPriority w:val="9"/>
    <w:pPr>
      <w:spacing w:before="100" w:beforeAutospacing="1" w:after="100" w:afterAutospacing="1"/>
      <w:jc w:val="left"/>
      <w:outlineLvl w:val="0"/>
    </w:pPr>
    <w:rPr>
      <w:rFonts w:hint="eastAsia" w:ascii="宋体" w:hAnsi="宋体" w:eastAsia="宋体"/>
      <w:b/>
      <w:kern w:val="44"/>
      <w:sz w:val="48"/>
      <w:szCs w:val="48"/>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Plain Text"/>
    <w:basedOn w:val="1"/>
    <w:link w:val="17"/>
    <w:semiHidden/>
    <w:unhideWhenUsed/>
    <w:qFormat/>
    <w:uiPriority w:val="0"/>
    <w:rPr>
      <w:rFonts w:ascii="宋体" w:hAnsi="Courier New" w:eastAsia="宋体" w:cs="Courier New"/>
      <w:sz w:val="21"/>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rFonts w:hAnsi="Calibri"/>
      <w:sz w:val="18"/>
      <w:szCs w:val="24"/>
    </w:rPr>
  </w:style>
  <w:style w:type="paragraph" w:styleId="6">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hAnsi="Calibri"/>
      <w:sz w:val="18"/>
      <w:szCs w:val="24"/>
    </w:rPr>
  </w:style>
  <w:style w:type="paragraph" w:styleId="7">
    <w:name w:val="Title"/>
    <w:basedOn w:val="1"/>
    <w:next w:val="1"/>
    <w:link w:val="19"/>
    <w:qFormat/>
    <w:uiPriority w:val="0"/>
    <w:pPr>
      <w:spacing w:before="240" w:after="60"/>
      <w:jc w:val="center"/>
      <w:outlineLvl w:val="0"/>
    </w:pPr>
    <w:rPr>
      <w:rFonts w:ascii="Cambria" w:hAnsi="Cambria" w:eastAsia="宋体"/>
      <w:b/>
      <w:bCs/>
      <w:szCs w:val="32"/>
    </w:rPr>
  </w:style>
  <w:style w:type="character" w:styleId="9">
    <w:name w:val="Hyperlink"/>
    <w:unhideWhenUsed/>
    <w:qFormat/>
    <w:uiPriority w:val="99"/>
    <w:rPr>
      <w:color w:val="0000FF"/>
      <w:u w:val="single"/>
    </w:rPr>
  </w:style>
  <w:style w:type="table" w:styleId="11">
    <w:name w:val="Table Grid"/>
    <w:basedOn w:val="10"/>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link w:val="5"/>
    <w:qFormat/>
    <w:uiPriority w:val="99"/>
    <w:rPr>
      <w:rFonts w:ascii="仿宋" w:eastAsia="仿宋"/>
      <w:sz w:val="18"/>
      <w:szCs w:val="24"/>
    </w:rPr>
  </w:style>
  <w:style w:type="character" w:customStyle="1" w:styleId="13">
    <w:name w:val="页眉 Char"/>
    <w:link w:val="6"/>
    <w:qFormat/>
    <w:uiPriority w:val="0"/>
    <w:rPr>
      <w:rFonts w:ascii="仿宋" w:eastAsia="仿宋"/>
      <w:sz w:val="18"/>
      <w:szCs w:val="24"/>
    </w:rPr>
  </w:style>
  <w:style w:type="paragraph" w:customStyle="1" w:styleId="14">
    <w:name w:val="列出段落3"/>
    <w:basedOn w:val="1"/>
    <w:unhideWhenUsed/>
    <w:qFormat/>
    <w:uiPriority w:val="99"/>
    <w:pPr>
      <w:ind w:firstLine="420" w:firstLineChars="200"/>
    </w:pPr>
    <w:rPr>
      <w:rFonts w:ascii="Calibri" w:hAnsi="Calibri" w:eastAsia="宋体" w:cs="宋体"/>
      <w:szCs w:val="24"/>
    </w:rPr>
  </w:style>
  <w:style w:type="character" w:customStyle="1" w:styleId="15">
    <w:name w:val="批注框文本 Char"/>
    <w:link w:val="4"/>
    <w:semiHidden/>
    <w:uiPriority w:val="99"/>
    <w:rPr>
      <w:rFonts w:ascii="Times New Roman" w:hAnsi="Times New Roman" w:eastAsia="仿宋_GB2312" w:cs="Times New Roman"/>
      <w:sz w:val="18"/>
      <w:szCs w:val="18"/>
    </w:rPr>
  </w:style>
  <w:style w:type="paragraph" w:styleId="16">
    <w:name w:val="List Paragraph"/>
    <w:basedOn w:val="1"/>
    <w:qFormat/>
    <w:uiPriority w:val="34"/>
    <w:pPr>
      <w:ind w:firstLine="420" w:firstLineChars="200"/>
    </w:pPr>
    <w:rPr>
      <w:rFonts w:asciiTheme="minorHAnsi" w:hAnsiTheme="minorHAnsi" w:eastAsiaTheme="minorEastAsia" w:cstheme="minorBidi"/>
      <w:sz w:val="21"/>
      <w:szCs w:val="22"/>
    </w:rPr>
  </w:style>
  <w:style w:type="character" w:customStyle="1" w:styleId="17">
    <w:name w:val="纯文本 Char"/>
    <w:basedOn w:val="8"/>
    <w:link w:val="3"/>
    <w:semiHidden/>
    <w:qFormat/>
    <w:uiPriority w:val="0"/>
    <w:rPr>
      <w:rFonts w:ascii="宋体" w:hAnsi="Courier New" w:cs="Courier New"/>
      <w:kern w:val="2"/>
      <w:sz w:val="21"/>
      <w:szCs w:val="21"/>
    </w:rPr>
  </w:style>
  <w:style w:type="character" w:customStyle="1" w:styleId="18">
    <w:name w:val="标题 1 Char"/>
    <w:basedOn w:val="8"/>
    <w:link w:val="2"/>
    <w:qFormat/>
    <w:uiPriority w:val="9"/>
    <w:rPr>
      <w:rFonts w:ascii="宋体" w:hAnsi="宋体"/>
      <w:b/>
      <w:kern w:val="44"/>
      <w:sz w:val="48"/>
      <w:szCs w:val="48"/>
    </w:rPr>
  </w:style>
  <w:style w:type="character" w:customStyle="1" w:styleId="19">
    <w:name w:val="标题 Char"/>
    <w:basedOn w:val="8"/>
    <w:link w:val="7"/>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1248</Words>
  <Characters>7120</Characters>
  <Lines>59</Lines>
  <Paragraphs>16</Paragraphs>
  <TotalTime>15</TotalTime>
  <ScaleCrop>false</ScaleCrop>
  <LinksUpToDate>false</LinksUpToDate>
  <CharactersWithSpaces>8352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2020-03-31T10:07:00Z</dcterms:created>
  <dc:creator>杨刚_65ygang</dc:creator>
  <cp:lastModifiedBy>Administrator</cp:lastModifiedBy>
  <cp:lastPrinted>2020-03-31T10:33:00Z</cp:lastPrinted>
  <dcterms:modified xsi:type="dcterms:W3CDTF">2020-04-01T08:50:16Z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