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int="eastAsia" w:ascii="方正小标宋_GBK" w:hAnsi="华文中宋" w:eastAsia="方正小标宋_GBK" w:cs="宋体"/>
          <w:b w:val="0"/>
          <w:bCs w:val="0"/>
          <w:color w:val="000000" w:themeColor="text1"/>
          <w:kern w:val="0"/>
          <w:sz w:val="48"/>
          <w:szCs w:val="48"/>
          <w14:textFill>
            <w14:solidFill>
              <w14:schemeClr w14:val="tx1"/>
            </w14:solidFill>
          </w14:textFill>
        </w:rPr>
      </w:pPr>
      <w:r>
        <w:rPr>
          <w:rFonts w:hint="eastAsia" w:ascii="方正小标宋_GBK" w:hAnsi="华文中宋" w:eastAsia="方正小标宋_GBK" w:cs="宋体"/>
          <w:b w:val="0"/>
          <w:bCs w:val="0"/>
          <w:color w:val="000000" w:themeColor="text1"/>
          <w:kern w:val="0"/>
          <w:sz w:val="48"/>
          <w:szCs w:val="48"/>
          <w14:textFill>
            <w14:solidFill>
              <w14:schemeClr w14:val="tx1"/>
            </w14:solidFill>
          </w14:textFill>
        </w:rPr>
        <w:t>202</w:t>
      </w:r>
      <w:r>
        <w:rPr>
          <w:rFonts w:hint="eastAsia" w:ascii="方正小标宋_GBK" w:hAnsi="华文中宋" w:eastAsia="方正小标宋_GBK" w:cs="宋体"/>
          <w:b w:val="0"/>
          <w:bCs w:val="0"/>
          <w:color w:val="000000" w:themeColor="text1"/>
          <w:kern w:val="0"/>
          <w:sz w:val="48"/>
          <w:szCs w:val="48"/>
          <w:lang w:val="en-US" w:eastAsia="zh-CN"/>
          <w14:textFill>
            <w14:solidFill>
              <w14:schemeClr w14:val="tx1"/>
            </w14:solidFill>
          </w14:textFill>
        </w:rPr>
        <w:t>3</w:t>
      </w:r>
      <w:r>
        <w:rPr>
          <w:rFonts w:hint="eastAsia" w:ascii="方正小标宋_GBK" w:hAnsi="华文中宋" w:eastAsia="方正小标宋_GBK" w:cs="宋体"/>
          <w:b w:val="0"/>
          <w:bCs w:val="0"/>
          <w:color w:val="000000" w:themeColor="text1"/>
          <w:kern w:val="0"/>
          <w:sz w:val="48"/>
          <w:szCs w:val="48"/>
          <w14:textFill>
            <w14:solidFill>
              <w14:schemeClr w14:val="tx1"/>
            </w14:solidFill>
          </w14:textFill>
        </w:rPr>
        <w:t>年度</w:t>
      </w:r>
      <w:r>
        <w:rPr>
          <w:rFonts w:hint="eastAsia" w:ascii="方正小标宋_GBK" w:hAnsi="华文中宋" w:eastAsia="方正小标宋_GBK" w:cs="宋体"/>
          <w:b w:val="0"/>
          <w:bCs w:val="0"/>
          <w:color w:val="000000" w:themeColor="text1"/>
          <w:kern w:val="0"/>
          <w:sz w:val="48"/>
          <w:szCs w:val="48"/>
          <w:lang w:val="en-US" w:eastAsia="zh-CN"/>
          <w14:textFill>
            <w14:solidFill>
              <w14:schemeClr w14:val="tx1"/>
            </w14:solidFill>
          </w14:textFill>
        </w:rPr>
        <w:t>自治区药品抽检</w:t>
      </w:r>
      <w:r>
        <w:rPr>
          <w:rFonts w:hint="eastAsia" w:ascii="方正小标宋_GBK" w:hAnsi="华文中宋" w:eastAsia="方正小标宋_GBK" w:cs="宋体"/>
          <w:b w:val="0"/>
          <w:bCs w:val="0"/>
          <w:color w:val="000000" w:themeColor="text1"/>
          <w:kern w:val="0"/>
          <w:sz w:val="48"/>
          <w:szCs w:val="48"/>
          <w14:textFill>
            <w14:solidFill>
              <w14:schemeClr w14:val="tx1"/>
            </w14:solidFill>
          </w14:textFill>
        </w:rPr>
        <w:t>项目</w:t>
      </w:r>
    </w:p>
    <w:p>
      <w:pPr>
        <w:pageBreakBefore w:val="0"/>
        <w:kinsoku/>
        <w:wordWrap/>
        <w:overflowPunct/>
        <w:topLinePunct w:val="0"/>
        <w:autoSpaceDE/>
        <w:autoSpaceDN/>
        <w:bidi w:val="0"/>
        <w:adjustRightInd/>
        <w:spacing w:line="560" w:lineRule="exact"/>
        <w:jc w:val="center"/>
        <w:textAlignment w:val="auto"/>
        <w:rPr>
          <w:rFonts w:ascii="方正小标宋_GBK" w:hAnsi="华文中宋" w:eastAsia="方正小标宋_GBK" w:cs="宋体"/>
          <w:b w:val="0"/>
          <w:bCs w:val="0"/>
          <w:color w:val="000000" w:themeColor="text1"/>
          <w:kern w:val="0"/>
          <w:sz w:val="48"/>
          <w:szCs w:val="48"/>
          <w14:textFill>
            <w14:solidFill>
              <w14:schemeClr w14:val="tx1"/>
            </w14:solidFill>
          </w14:textFill>
        </w:rPr>
      </w:pPr>
      <w:r>
        <w:rPr>
          <w:rFonts w:hint="eastAsia" w:ascii="方正小标宋_GBK" w:hAnsi="华文中宋" w:eastAsia="方正小标宋_GBK" w:cs="宋体"/>
          <w:b w:val="0"/>
          <w:bCs w:val="0"/>
          <w:color w:val="000000" w:themeColor="text1"/>
          <w:kern w:val="0"/>
          <w:sz w:val="48"/>
          <w:szCs w:val="48"/>
          <w14:textFill>
            <w14:solidFill>
              <w14:schemeClr w14:val="tx1"/>
            </w14:solidFill>
          </w14:textFill>
        </w:rPr>
        <w:t>支出绩效评价报告</w:t>
      </w:r>
    </w:p>
    <w:p>
      <w:pPr>
        <w:pageBreakBefore w:val="0"/>
        <w:kinsoku/>
        <w:wordWrap/>
        <w:overflowPunct/>
        <w:topLinePunct w:val="0"/>
        <w:autoSpaceDE/>
        <w:autoSpaceDN/>
        <w:bidi w:val="0"/>
        <w:adjustRightInd/>
        <w:spacing w:line="560" w:lineRule="exact"/>
        <w:jc w:val="center"/>
        <w:textAlignment w:val="auto"/>
        <w:rPr>
          <w:rFonts w:ascii="华文中宋" w:hAnsi="华文中宋" w:eastAsia="华文中宋" w:cs="宋体"/>
          <w:b/>
          <w:color w:val="000000" w:themeColor="text1"/>
          <w:kern w:val="0"/>
          <w:sz w:val="52"/>
          <w:szCs w:val="52"/>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202</w:t>
      </w:r>
      <w:r>
        <w:rPr>
          <w:rFonts w:hint="eastAsia" w:hAnsi="宋体" w:eastAsia="仿宋_GB2312" w:cs="宋体"/>
          <w:color w:val="000000" w:themeColor="text1"/>
          <w:kern w:val="0"/>
          <w:sz w:val="36"/>
          <w:szCs w:val="36"/>
          <w:lang w:val="en-US" w:eastAsia="zh-CN"/>
          <w14:textFill>
            <w14:solidFill>
              <w14:schemeClr w14:val="tx1"/>
            </w14:solidFill>
          </w14:textFill>
        </w:rPr>
        <w:t>3</w:t>
      </w:r>
      <w:r>
        <w:rPr>
          <w:rFonts w:hint="eastAsia" w:hAnsi="宋体" w:eastAsia="仿宋_GB2312" w:cs="宋体"/>
          <w:color w:val="000000" w:themeColor="text1"/>
          <w:kern w:val="0"/>
          <w:sz w:val="36"/>
          <w:szCs w:val="36"/>
          <w14:textFill>
            <w14:solidFill>
              <w14:schemeClr w14:val="tx1"/>
            </w14:solidFill>
          </w14:textFill>
        </w:rPr>
        <w:t>年度）</w:t>
      </w:r>
    </w:p>
    <w:p>
      <w:pPr>
        <w:pageBreakBefore w:val="0"/>
        <w:kinsoku/>
        <w:wordWrap/>
        <w:overflowPunct/>
        <w:topLinePunct w:val="0"/>
        <w:autoSpaceDE/>
        <w:autoSpaceDN/>
        <w:bidi w:val="0"/>
        <w:adjustRightInd/>
        <w:spacing w:line="560" w:lineRule="exact"/>
        <w:jc w:val="center"/>
        <w:textAlignment w:val="auto"/>
        <w:rPr>
          <w:rFonts w:hAnsi="宋体" w:eastAsia="仿宋_GB2312" w:cs="宋体"/>
          <w:color w:val="000000" w:themeColor="text1"/>
          <w:kern w:val="0"/>
          <w:sz w:val="30"/>
          <w:szCs w:val="30"/>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Ansi="宋体" w:eastAsia="仿宋_GB2312" w:cs="宋体"/>
          <w:color w:val="000000" w:themeColor="text1"/>
          <w:kern w:val="0"/>
          <w:sz w:val="30"/>
          <w:szCs w:val="30"/>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Ansi="宋体" w:eastAsia="仿宋_GB2312" w:cs="宋体"/>
          <w:color w:val="000000" w:themeColor="text1"/>
          <w:kern w:val="0"/>
          <w:sz w:val="30"/>
          <w:szCs w:val="30"/>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Ansi="宋体" w:eastAsia="仿宋_GB2312" w:cs="宋体"/>
          <w:color w:val="000000" w:themeColor="text1"/>
          <w:kern w:val="0"/>
          <w:sz w:val="30"/>
          <w:szCs w:val="30"/>
          <w14:textFill>
            <w14:solidFill>
              <w14:schemeClr w14:val="tx1"/>
            </w14:solidFill>
          </w14:textFill>
        </w:rPr>
      </w:pPr>
    </w:p>
    <w:p>
      <w:pPr>
        <w:pageBreakBefore w:val="0"/>
        <w:kinsoku/>
        <w:wordWrap/>
        <w:overflowPunct/>
        <w:topLinePunct w:val="0"/>
        <w:autoSpaceDE/>
        <w:autoSpaceDN/>
        <w:bidi w:val="0"/>
        <w:adjustRightInd/>
        <w:spacing w:line="560" w:lineRule="exact"/>
        <w:textAlignment w:val="auto"/>
        <w:rPr>
          <w:rFonts w:hAnsi="宋体" w:eastAsia="仿宋_GB2312" w:cs="宋体"/>
          <w:color w:val="000000" w:themeColor="text1"/>
          <w:kern w:val="0"/>
          <w:sz w:val="30"/>
          <w:szCs w:val="30"/>
          <w14:textFill>
            <w14:solidFill>
              <w14:schemeClr w14:val="tx1"/>
            </w14:solidFill>
          </w14:textFill>
        </w:rPr>
      </w:pPr>
    </w:p>
    <w:p>
      <w:pPr>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color w:val="000000" w:themeColor="text1"/>
          <w:kern w:val="0"/>
          <w:sz w:val="36"/>
          <w:szCs w:val="36"/>
          <w14:textFill>
            <w14:solidFill>
              <w14:schemeClr w14:val="tx1"/>
            </w14:solidFill>
          </w14:textFill>
        </w:rPr>
      </w:pPr>
    </w:p>
    <w:p>
      <w:pPr>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color w:val="000000" w:themeColor="text1"/>
          <w:kern w:val="0"/>
          <w:sz w:val="36"/>
          <w:szCs w:val="36"/>
          <w14:textFill>
            <w14:solidFill>
              <w14:schemeClr w14:val="tx1"/>
            </w14:solidFill>
          </w14:textFill>
        </w:rPr>
      </w:pPr>
    </w:p>
    <w:p>
      <w:pPr>
        <w:pageBreakBefore w:val="0"/>
        <w:kinsoku/>
        <w:wordWrap/>
        <w:overflowPunct/>
        <w:topLinePunct w:val="0"/>
        <w:autoSpaceDE/>
        <w:autoSpaceDN/>
        <w:bidi w:val="0"/>
        <w:adjustRightInd/>
        <w:spacing w:line="560" w:lineRule="exact"/>
        <w:ind w:firstLine="720" w:firstLineChars="200"/>
        <w:jc w:val="left"/>
        <w:textAlignment w:val="auto"/>
        <w:rPr>
          <w:rFonts w:hint="eastAsia" w:hAnsi="宋体" w:eastAsia="仿宋_GB2312" w:cs="宋体"/>
          <w:color w:val="000000" w:themeColor="text1"/>
          <w:kern w:val="0"/>
          <w:sz w:val="36"/>
          <w:szCs w:val="36"/>
          <w:lang w:eastAsia="zh-CN"/>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实施单位（公章）：自治区药品</w:t>
      </w:r>
      <w:r>
        <w:rPr>
          <w:rFonts w:hint="eastAsia" w:hAnsi="宋体" w:eastAsia="仿宋_GB2312" w:cs="宋体"/>
          <w:color w:val="000000" w:themeColor="text1"/>
          <w:kern w:val="0"/>
          <w:sz w:val="36"/>
          <w:szCs w:val="36"/>
          <w:lang w:eastAsia="zh-CN"/>
          <w14:textFill>
            <w14:solidFill>
              <w14:schemeClr w14:val="tx1"/>
            </w14:solidFill>
          </w14:textFill>
        </w:rPr>
        <w:t>监督管理局</w:t>
      </w:r>
    </w:p>
    <w:p>
      <w:pPr>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主管部门（公章）：自治区药品监督管理局</w:t>
      </w:r>
    </w:p>
    <w:p>
      <w:pPr>
        <w:pageBreakBefore w:val="0"/>
        <w:kinsoku/>
        <w:wordWrap/>
        <w:overflowPunct/>
        <w:topLinePunct w:val="0"/>
        <w:autoSpaceDE/>
        <w:autoSpaceDN/>
        <w:bidi w:val="0"/>
        <w:adjustRightInd/>
        <w:spacing w:line="560" w:lineRule="exact"/>
        <w:ind w:firstLine="720" w:firstLineChars="200"/>
        <w:jc w:val="left"/>
        <w:textAlignment w:val="auto"/>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填报时间：202</w:t>
      </w:r>
      <w:r>
        <w:rPr>
          <w:rFonts w:hint="eastAsia" w:hAnsi="宋体" w:eastAsia="仿宋_GB2312" w:cs="宋体"/>
          <w:color w:val="000000" w:themeColor="text1"/>
          <w:kern w:val="0"/>
          <w:sz w:val="36"/>
          <w:szCs w:val="36"/>
          <w:lang w:val="en-US" w:eastAsia="zh-CN"/>
          <w14:textFill>
            <w14:solidFill>
              <w14:schemeClr w14:val="tx1"/>
            </w14:solidFill>
          </w14:textFill>
        </w:rPr>
        <w:t>4</w:t>
      </w:r>
      <w:r>
        <w:rPr>
          <w:rFonts w:hint="eastAsia" w:hAnsi="宋体" w:eastAsia="仿宋_GB2312" w:cs="宋体"/>
          <w:color w:val="000000" w:themeColor="text1"/>
          <w:kern w:val="0"/>
          <w:sz w:val="36"/>
          <w:szCs w:val="36"/>
          <w14:textFill>
            <w14:solidFill>
              <w14:schemeClr w14:val="tx1"/>
            </w14:solidFill>
          </w14:textFill>
        </w:rPr>
        <w:t>年04月</w:t>
      </w:r>
      <w:r>
        <w:rPr>
          <w:rFonts w:hint="eastAsia" w:hAnsi="宋体" w:eastAsia="仿宋_GB2312" w:cs="宋体"/>
          <w:color w:val="000000" w:themeColor="text1"/>
          <w:kern w:val="0"/>
          <w:sz w:val="36"/>
          <w:szCs w:val="36"/>
          <w:lang w:val="en-US" w:eastAsia="zh-CN"/>
          <w14:textFill>
            <w14:solidFill>
              <w14:schemeClr w14:val="tx1"/>
            </w14:solidFill>
          </w14:textFill>
        </w:rPr>
        <w:t xml:space="preserve">  </w:t>
      </w:r>
      <w:r>
        <w:rPr>
          <w:rFonts w:hint="eastAsia" w:hAnsi="宋体" w:eastAsia="仿宋_GB2312" w:cs="宋体"/>
          <w:color w:val="000000" w:themeColor="text1"/>
          <w:kern w:val="0"/>
          <w:sz w:val="36"/>
          <w:szCs w:val="36"/>
          <w14:textFill>
            <w14:solidFill>
              <w14:schemeClr w14:val="tx1"/>
            </w14:solidFill>
          </w14:textFill>
        </w:rPr>
        <w:t>日</w:t>
      </w:r>
    </w:p>
    <w:p>
      <w:pPr>
        <w:pageBreakBefore w:val="0"/>
        <w:kinsoku/>
        <w:wordWrap/>
        <w:overflowPunct/>
        <w:topLinePunct w:val="0"/>
        <w:autoSpaceDE/>
        <w:autoSpaceDN/>
        <w:bidi w:val="0"/>
        <w:adjustRightInd/>
        <w:spacing w:line="560" w:lineRule="exact"/>
        <w:jc w:val="center"/>
        <w:textAlignment w:val="auto"/>
        <w:rPr>
          <w:rFonts w:hAnsi="宋体" w:eastAsia="仿宋_GB2312" w:cs="宋体"/>
          <w:color w:val="000000" w:themeColor="text1"/>
          <w:kern w:val="0"/>
          <w:sz w:val="30"/>
          <w:szCs w:val="30"/>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Style w:val="24"/>
          <w:rFonts w:hint="eastAsia" w:ascii="黑体" w:hAnsi="黑体" w:eastAsia="黑体"/>
          <w:b w:val="0"/>
          <w:color w:val="000000" w:themeColor="text1"/>
          <w:spacing w:val="-4"/>
          <w:sz w:val="32"/>
          <w:szCs w:val="32"/>
          <w:lang w:val="en-US" w:eastAsia="zh-CN"/>
          <w14:textFill>
            <w14:solidFill>
              <w14:schemeClr w14:val="tx1"/>
            </w14:solidFill>
          </w14:textFill>
        </w:rPr>
      </w:pPr>
    </w:p>
    <w:p>
      <w:pPr>
        <w:pStyle w:val="13"/>
        <w:pageBreakBefore w:val="0"/>
        <w:kinsoku/>
        <w:wordWrap/>
        <w:overflowPunct/>
        <w:topLinePunct w:val="0"/>
        <w:autoSpaceDE/>
        <w:autoSpaceDN/>
        <w:bidi w:val="0"/>
        <w:adjustRightInd/>
        <w:spacing w:line="560" w:lineRule="exact"/>
        <w:textAlignment w:val="auto"/>
        <w:rPr>
          <w:rFonts w:hint="eastAsia"/>
          <w:color w:val="000000" w:themeColor="text1"/>
          <w:lang w:val="en-US" w:eastAsia="zh-CN"/>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int="eastAsia" w:ascii="仿宋_GB2312" w:eastAsia="宋体"/>
          <w:color w:val="000000" w:themeColor="text1"/>
          <w:szCs w:val="30"/>
          <w:lang w:eastAsia="zh-CN"/>
          <w14:textFill>
            <w14:solidFill>
              <w14:schemeClr w14:val="tx1"/>
            </w14:solidFill>
          </w14:textFill>
        </w:rPr>
      </w:pPr>
      <w:r>
        <w:rPr>
          <w:rStyle w:val="24"/>
          <w:rFonts w:hint="eastAsia" w:ascii="黑体" w:hAnsi="黑体" w:eastAsia="黑体"/>
          <w:b w:val="0"/>
          <w:color w:val="000000" w:themeColor="text1"/>
          <w:spacing w:val="-4"/>
          <w:sz w:val="32"/>
          <w:szCs w:val="32"/>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bCs/>
          <w:color w:val="000000" w:themeColor="text1"/>
          <w:sz w:val="30"/>
          <w:szCs w:val="30"/>
          <w14:textFill>
            <w14:solidFill>
              <w14:schemeClr w14:val="tx1"/>
            </w14:solidFill>
          </w14:textFill>
        </w:rPr>
      </w:pPr>
      <w:r>
        <w:rPr>
          <w:rFonts w:hint="eastAsia" w:ascii="黑体" w:hAnsi="黑体" w:eastAsia="黑体" w:cs="黑体"/>
          <w:bCs/>
          <w:color w:val="000000" w:themeColor="text1"/>
          <w:sz w:val="30"/>
          <w:szCs w:val="30"/>
          <w14:textFill>
            <w14:solidFill>
              <w14:schemeClr w14:val="tx1"/>
            </w14:solidFill>
          </w14:textFill>
        </w:rPr>
        <w:t>一、基本情况</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楷体_GBK" w:hAnsi="方正楷体_GBK" w:eastAsia="方正楷体_GBK" w:cs="方正楷体_GBK"/>
          <w:b/>
          <w:bCs/>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sz w:val="30"/>
          <w:szCs w:val="30"/>
          <w14:textFill>
            <w14:solidFill>
              <w14:schemeClr w14:val="tx1"/>
            </w14:solidFill>
          </w14:textFill>
        </w:rPr>
        <w:t>（一）项目概况</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b/>
          <w:bCs/>
          <w:color w:val="000000" w:themeColor="text1"/>
          <w:sz w:val="30"/>
          <w:szCs w:val="30"/>
          <w:highlight w:val="yellow"/>
          <w14:textFill>
            <w14:solidFill>
              <w14:schemeClr w14:val="tx1"/>
            </w14:solidFill>
          </w14:textFill>
        </w:rPr>
      </w:pPr>
      <w:r>
        <w:rPr>
          <w:rFonts w:hint="eastAsia" w:ascii="方正仿宋_GB2312" w:hAnsi="方正仿宋_GB2312" w:eastAsia="方正仿宋_GB2312" w:cs="方正仿宋_GB2312"/>
          <w:b/>
          <w:bCs/>
          <w:color w:val="000000" w:themeColor="text1"/>
          <w:sz w:val="30"/>
          <w:szCs w:val="30"/>
          <w:highlight w:val="none"/>
          <w14:textFill>
            <w14:solidFill>
              <w14:schemeClr w14:val="tx1"/>
            </w14:solidFill>
          </w14:textFill>
        </w:rPr>
        <w:t>1、项目背景</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（1）项目实施的政策背景</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根据《中华人民共和国药品管理法》、《药品质量抽查检验管理办法》等法律法规和《国家药监局关于印发2023年国家药品抽检计划的通知》（国药监药管〔2023〕2号）等规定，为进一步做好省级药品抽检工作，加大对假劣药品的打击力度，我局结合全国药品监督管理工作会议部署和2023年药品监管重点工作安排，制定《2023年自治区药品、医疗器械、化妆品抽检工作方案》（新药监稽【2023】50号），安排下达抽检任务，充分发挥抽检工作的风险防控和技术支撑作用，保障公众用药用械用妆安全。</w:t>
      </w:r>
    </w:p>
    <w:p>
      <w:pPr>
        <w:keepNext w:val="0"/>
        <w:keepLines w:val="0"/>
        <w:pageBreakBefore w:val="0"/>
        <w:kinsoku/>
        <w:wordWrap/>
        <w:overflowPunct/>
        <w:topLinePunct w:val="0"/>
        <w:autoSpaceDE/>
        <w:autoSpaceDN/>
        <w:bidi w:val="0"/>
        <w:adjustRightInd/>
        <w:snapToGrid/>
        <w:spacing w:line="540" w:lineRule="exact"/>
        <w:ind w:firstLine="602" w:firstLineChars="200"/>
        <w:textAlignment w:val="auto"/>
        <w:rPr>
          <w:rFonts w:hint="eastAsia" w:ascii="方正仿宋_GB2312" w:hAnsi="方正仿宋_GB2312" w:eastAsia="方正仿宋_GB2312" w:cs="方正仿宋_GB2312"/>
          <w:color w:val="000000" w:themeColor="text1"/>
          <w:sz w:val="30"/>
          <w:szCs w:val="30"/>
          <w:highlight w:val="none"/>
          <w:lang w:eastAsia="zh-CN"/>
          <w14:textFill>
            <w14:solidFill>
              <w14:schemeClr w14:val="tx1"/>
            </w14:solidFill>
          </w14:textFill>
        </w:rPr>
      </w:pPr>
      <w:r>
        <w:rPr>
          <w:rFonts w:hint="eastAsia" w:ascii="方正仿宋_GB2312" w:hAnsi="方正仿宋_GB2312" w:eastAsia="方正仿宋_GB2312" w:cs="方正仿宋_GB2312"/>
          <w:b/>
          <w:bCs/>
          <w:color w:val="000000" w:themeColor="text1"/>
          <w:sz w:val="30"/>
          <w:szCs w:val="30"/>
          <w:highlight w:val="none"/>
          <w14:textFill>
            <w14:solidFill>
              <w14:schemeClr w14:val="tx1"/>
            </w14:solidFill>
          </w14:textFill>
        </w:rPr>
        <w:t>2、项目主要内容及实施情况</w:t>
      </w:r>
      <w:r>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2023年</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共安排</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自治区药品、医疗器械、化妆品</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抽检任务2460批次，其中：</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药品生产、流通环节（含医院制剂）1080批次，中药饮片生产流通环节抽检820批次，</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药包材抽检</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10批次；</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医疗器械监督抽样300批次，化妆品监督抽样250批次。</w:t>
      </w:r>
    </w:p>
    <w:p>
      <w:pPr>
        <w:keepNext w:val="0"/>
        <w:keepLines w:val="0"/>
        <w:pageBreakBefore w:val="0"/>
        <w:kinsoku/>
        <w:wordWrap/>
        <w:overflowPunct/>
        <w:topLinePunct w:val="0"/>
        <w:autoSpaceDE/>
        <w:autoSpaceDN/>
        <w:bidi w:val="0"/>
        <w:adjustRightInd/>
        <w:snapToGrid/>
        <w:spacing w:line="540" w:lineRule="exact"/>
        <w:ind w:firstLine="636"/>
        <w:textAlignment w:val="auto"/>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项目实施情况：</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自治区药监局机关69.56万元。用于支付委托开展药品生产质量管理规范实施情况评估项目、“两品一械”质量管理体系技术服务项目、高风险药品经营企业质量管理体系评估项目、行政许可案卷内部审查技术服务项目、援疆专家技术咨询服务项目、协助开展医疗器械生产企业监管技术服务工作、编制医疗器械企业落实质量安全主体责任指导手册技术服务项目、全区“两品一械”满意度调查等8个项目的尾款。</w:t>
      </w:r>
    </w:p>
    <w:p>
      <w:pPr>
        <w:keepNext w:val="0"/>
        <w:keepLines w:val="0"/>
        <w:pageBreakBefore w:val="0"/>
        <w:kinsoku/>
        <w:wordWrap/>
        <w:overflowPunct/>
        <w:topLinePunct w:val="0"/>
        <w:autoSpaceDE/>
        <w:autoSpaceDN/>
        <w:bidi w:val="0"/>
        <w:adjustRightInd/>
        <w:snapToGrid/>
        <w:spacing w:line="540" w:lineRule="exact"/>
        <w:ind w:firstLine="636"/>
        <w:textAlignment w:val="auto"/>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自治区药检院283万元。用于支付办公费3万元、电费15万元、邮电费1.01万元、差旅费11.9万元、维修费28.84万元、专用材料费33.12万元、劳务费32.41万元、仪器设备和服务维保88万元、办公设备购置2.16万元、信息网络及软件购置更新59.56万元、其他商品和服务支出8万元。</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各地州市场局共1364万元。其中：乌鲁木齐市市场局141万元、伊犁州市场局145万元、塔城地区市场局53万元、阿勒泰地区市场局104万元、克拉玛依市市场局32万元、博州市场局53万元、昌吉州市场局147万元、哈密市市场局53万元、吐鲁番市市场局56万元、巴州市场局134万元、阿克苏地区市场局129万元、克州市场局43万元、喀什地区市场局129万元、和田地区市场局145万元。</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b/>
          <w:bCs/>
          <w:color w:val="000000" w:themeColor="text1"/>
          <w:sz w:val="30"/>
          <w:szCs w:val="30"/>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30"/>
          <w:szCs w:val="30"/>
          <w:highlight w:val="none"/>
          <w14:textFill>
            <w14:solidFill>
              <w14:schemeClr w14:val="tx1"/>
            </w14:solidFill>
          </w14:textFill>
        </w:rPr>
        <w:t>3、资金投入和使用情况</w:t>
      </w:r>
    </w:p>
    <w:p>
      <w:pPr>
        <w:keepNext w:val="0"/>
        <w:keepLines w:val="0"/>
        <w:pageBreakBefore w:val="0"/>
        <w:numPr>
          <w:ilvl w:val="0"/>
          <w:numId w:val="1"/>
        </w:numPr>
        <w:kinsoku/>
        <w:wordWrap/>
        <w:overflowPunct/>
        <w:topLinePunct w:val="0"/>
        <w:autoSpaceDE/>
        <w:autoSpaceDN/>
        <w:bidi w:val="0"/>
        <w:adjustRightInd/>
        <w:snapToGrid/>
        <w:spacing w:line="540" w:lineRule="exact"/>
        <w:ind w:firstLine="543" w:firstLineChars="181"/>
        <w:textAlignment w:val="auto"/>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pP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资金安排</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项目总投资</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1716.56</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万元，按照</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我局专项经费管理办法</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等规定，</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该项目</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资金符合</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2023年度自治区药品抽检项目</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资金</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使用</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范围，</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无超预算或无预算支出情况发生，</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做到专款专用。在项目资金拨付和使用过程中，为确保项目资金的安全性，提高项目资金使用</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效益</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，严格遵循资金拨付程序，认真审核项目实施</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方案</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，根据项目</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开展</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情况拨付资金。</w:t>
      </w:r>
    </w:p>
    <w:p>
      <w:pPr>
        <w:keepNext w:val="0"/>
        <w:keepLines w:val="0"/>
        <w:pageBreakBefore w:val="0"/>
        <w:numPr>
          <w:ilvl w:val="0"/>
          <w:numId w:val="1"/>
        </w:numPr>
        <w:kinsoku/>
        <w:wordWrap/>
        <w:overflowPunct/>
        <w:topLinePunct w:val="0"/>
        <w:autoSpaceDE/>
        <w:autoSpaceDN/>
        <w:bidi w:val="0"/>
        <w:adjustRightInd/>
        <w:snapToGrid/>
        <w:spacing w:line="540" w:lineRule="exact"/>
        <w:ind w:left="0" w:leftChars="0" w:firstLine="543" w:firstLineChars="181"/>
        <w:textAlignment w:val="auto"/>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pPr>
      <w:r>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t>预算资金来源及使用情况</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0"/>
          <w:sz w:val="30"/>
          <w:szCs w:val="30"/>
          <w:lang w:val="en-US" w:eastAsia="zh-CN"/>
          <w14:textFill>
            <w14:solidFill>
              <w14:schemeClr w14:val="tx1"/>
            </w14:solidFill>
          </w14:textFill>
        </w:rPr>
        <w:t>根据</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《关于拨付2023年度自治区药品抽检经费的通知》（</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新财</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行</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〔202</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366</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号</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项</w:t>
      </w:r>
      <w:r>
        <w:rPr>
          <w:rFonts w:hint="eastAsia" w:ascii="方正仿宋_GB2312" w:hAnsi="方正仿宋_GB2312" w:eastAsia="方正仿宋_GB2312" w:cs="方正仿宋_GB2312"/>
          <w:b w:val="0"/>
          <w:bCs w:val="0"/>
          <w:color w:val="000000" w:themeColor="text1"/>
          <w:kern w:val="2"/>
          <w:sz w:val="30"/>
          <w:szCs w:val="30"/>
          <w:highlight w:val="none"/>
          <w:lang w:val="en-US" w:eastAsia="zh-CN" w:bidi="ar-SA"/>
          <w14:textFill>
            <w14:solidFill>
              <w14:schemeClr w14:val="tx1"/>
            </w14:solidFill>
          </w14:textFill>
        </w:rPr>
        <w:t>目预算资金来源于当年财政拨款追加，项目资金到位1716.56万元，全年执行1716.56万元，预算执行率为100%,主要用于：</w:t>
      </w:r>
      <w:r>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t>支付项目实施进程中的各项费用。</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楷体_GBK" w:hAnsi="方正楷体_GBK" w:eastAsia="方正楷体_GBK" w:cs="方正楷体_GBK"/>
          <w:b/>
          <w:bCs/>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sz w:val="30"/>
          <w:szCs w:val="30"/>
          <w14:textFill>
            <w14:solidFill>
              <w14:schemeClr w14:val="tx1"/>
            </w14:solidFill>
          </w14:textFill>
        </w:rPr>
        <w:t>（二）项目绩效目标</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b/>
          <w:bCs/>
          <w:color w:val="000000" w:themeColor="text1"/>
          <w:sz w:val="30"/>
          <w:szCs w:val="30"/>
          <w14:textFill>
            <w14:solidFill>
              <w14:schemeClr w14:val="tx1"/>
            </w14:solidFill>
          </w14:textFill>
        </w:rPr>
      </w:pPr>
      <w:r>
        <w:rPr>
          <w:rFonts w:hint="eastAsia" w:ascii="方正仿宋_GB2312" w:hAnsi="方正仿宋_GB2312" w:eastAsia="方正仿宋_GB2312" w:cs="方正仿宋_GB2312"/>
          <w:b/>
          <w:bCs/>
          <w:color w:val="000000" w:themeColor="text1"/>
          <w:sz w:val="30"/>
          <w:szCs w:val="30"/>
          <w14:textFill>
            <w14:solidFill>
              <w14:schemeClr w14:val="tx1"/>
            </w14:solidFill>
          </w14:textFill>
        </w:rPr>
        <w:t>1、总体目标</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紧紧围绕社会稳定和长治久安总目标，认真贯彻全国药品监督管理工作会议部署和自治区药监局2023年药品监管重点工作安排，以提高药品（含医疗器械、化妆品，下同）安全水平为核心，坚持问题导向、重点突出、监检结合和三级联动原则，进一步做好省级药品（医疗机构制剂）、中药饮片、医疗器械和化妆品抽检和药品评价性抽检工作，统一调度抽检任务，统一规范程序标准，统一数据分析利用，完成药品生产、流通环节（含医院制剂）抽检1080批次，中药饮片生产流通环节抽检820批次</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药包材抽检</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10批次，医疗器械监督抽样300批次，化妆品监督抽样250批次，药品评价性抽样检验1008批次，开展血液制品签发同步模拟运转实验15批次，对进口药材、化妆品风险监测、注册检验等检验335批次，有效发挥抽检工作的风险防控和技术支撑作用，委托开展药品医疗器械和化妆品生产流通监管服务，努力提高监管能力和监管水平，以“四个最严”的要求保障药品安全，坚决守住全区不发生重大药品安全事故底线。</w:t>
      </w:r>
    </w:p>
    <w:p>
      <w:pPr>
        <w:keepNext w:val="0"/>
        <w:keepLines w:val="0"/>
        <w:pageBreakBefore w:val="0"/>
        <w:numPr>
          <w:ilvl w:val="0"/>
          <w:numId w:val="2"/>
        </w:numPr>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b/>
          <w:bCs/>
          <w:color w:val="000000" w:themeColor="text1"/>
          <w:sz w:val="30"/>
          <w:szCs w:val="30"/>
          <w:highlight w:val="none"/>
          <w14:textFill>
            <w14:solidFill>
              <w14:schemeClr w14:val="tx1"/>
            </w14:solidFill>
          </w14:textFill>
        </w:rPr>
      </w:pPr>
      <w:r>
        <w:rPr>
          <w:rFonts w:hint="eastAsia" w:ascii="方正仿宋_GB2312" w:hAnsi="方正仿宋_GB2312" w:eastAsia="方正仿宋_GB2312" w:cs="方正仿宋_GB2312"/>
          <w:b/>
          <w:bCs/>
          <w:color w:val="000000" w:themeColor="text1"/>
          <w:sz w:val="30"/>
          <w:szCs w:val="30"/>
          <w:highlight w:val="none"/>
          <w14:textFill>
            <w14:solidFill>
              <w14:schemeClr w14:val="tx1"/>
            </w14:solidFill>
          </w14:textFill>
        </w:rPr>
        <w:t>阶段性目标</w:t>
      </w:r>
    </w:p>
    <w:p>
      <w:pPr>
        <w:keepNext w:val="0"/>
        <w:keepLines w:val="0"/>
        <w:pageBreakBefore w:val="0"/>
        <w:numPr>
          <w:ilvl w:val="0"/>
          <w:numId w:val="3"/>
        </w:numPr>
        <w:kinsoku/>
        <w:wordWrap/>
        <w:overflowPunct/>
        <w:topLinePunct w:val="0"/>
        <w:autoSpaceDE/>
        <w:autoSpaceDN/>
        <w:bidi w:val="0"/>
        <w:adjustRightInd/>
        <w:snapToGrid/>
        <w:spacing w:line="540" w:lineRule="exact"/>
        <w:ind w:left="30" w:leftChars="0" w:firstLine="600" w:firstLineChars="0"/>
        <w:textAlignment w:val="auto"/>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前期准备：</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202</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年完成药品生产、流通环节（含医院制剂）抽检1080批次，中药饮片生产流通环节抽检820批次，</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药包材抽检</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10批次，</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医疗器械监督抽样300批次，化妆品监督抽样250批次</w:t>
      </w:r>
      <w:r>
        <w:rPr>
          <w:rFonts w:hint="eastAsia" w:ascii="方正仿宋_GB2312" w:hAnsi="方正仿宋_GB2312" w:eastAsia="方正仿宋_GB2312" w:cs="方正仿宋_GB2312"/>
          <w:color w:val="000000" w:themeColor="text1"/>
          <w:kern w:val="0"/>
          <w:sz w:val="30"/>
          <w:szCs w:val="30"/>
          <w:lang w:eastAsia="zh-CN"/>
          <w14:textFill>
            <w14:solidFill>
              <w14:schemeClr w14:val="tx1"/>
            </w14:solidFill>
          </w14:textFill>
        </w:rPr>
        <w:t>。此外，还组织完成</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药品评价性抽样检验1008批次，开展血液制品签发同步模拟运转实验15批次，对进口药材、化妆品风险监测、注册检验等检验335批次。</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检验任务于202</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3</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年11月</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底</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前全部完成，且检验合格率均达到90%以上</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充分保障</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了</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疆内流通药品、医疗器械、化妆品的安全性，做到被抽检企业、委托机构和社会公众满意，全年无投诉。</w:t>
      </w:r>
    </w:p>
    <w:p>
      <w:pPr>
        <w:keepNext w:val="0"/>
        <w:keepLines w:val="0"/>
        <w:pageBreakBefore w:val="0"/>
        <w:numPr>
          <w:ilvl w:val="0"/>
          <w:numId w:val="3"/>
        </w:numPr>
        <w:kinsoku/>
        <w:wordWrap/>
        <w:overflowPunct/>
        <w:topLinePunct w:val="0"/>
        <w:autoSpaceDE/>
        <w:autoSpaceDN/>
        <w:bidi w:val="0"/>
        <w:adjustRightInd/>
        <w:snapToGrid/>
        <w:spacing w:line="540" w:lineRule="exact"/>
        <w:ind w:left="30" w:leftChars="0" w:firstLine="600" w:firstLineChars="0"/>
        <w:textAlignment w:val="auto"/>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pP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组织实施：</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经费下达</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后，</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我</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局</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领导高度重视，</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立即组织相关处室明确工作需求</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细化资金用途，开展抽检、实验供应品、办公耗材等检验所需物资的采购工作，充分</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保障</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药品生产、</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流通环节抽检、</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“两品一械”</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检验</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等</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任务顺利完成</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项目执行过程中</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严格按照项目预算执行，</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独立</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核算，</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专人专管，确保专项</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资金专款专用。全年召开多次预算执行进度会，通报预算执行情况及</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绩效目标</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完成情况</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项目负责人</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按照项目实施计划和</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执行进度申请使用资金，严格按照财务</w:t>
      </w:r>
      <w:r>
        <w:rPr>
          <w:rStyle w:val="24"/>
          <w:rFonts w:hint="eastAsia" w:ascii="方正仿宋_GB2312" w:hAnsi="方正仿宋_GB2312" w:eastAsia="方正仿宋_GB2312" w:cs="方正仿宋_GB2312"/>
          <w:b w:val="0"/>
          <w:color w:val="000000" w:themeColor="text1"/>
          <w:spacing w:val="-4"/>
          <w:sz w:val="30"/>
          <w:szCs w:val="30"/>
          <w:lang w:val="en-US" w:eastAsia="zh-CN"/>
          <w14:textFill>
            <w14:solidFill>
              <w14:schemeClr w14:val="tx1"/>
            </w14:solidFill>
          </w14:textFill>
        </w:rPr>
        <w:t>内控管理手册</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履行审批及报销程序。</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lang w:val="en-US" w:eastAsia="zh-CN"/>
          <w14:textFill>
            <w14:solidFill>
              <w14:schemeClr w14:val="tx1"/>
            </w14:solidFill>
          </w14:textFill>
        </w:rPr>
        <w:t xml:space="preserve"> </w:t>
      </w:r>
      <w:r>
        <w:rPr>
          <w:rFonts w:hint="eastAsia" w:ascii="黑体" w:hAnsi="黑体" w:eastAsia="黑体" w:cs="黑体"/>
          <w:color w:val="000000" w:themeColor="text1"/>
          <w:sz w:val="30"/>
          <w:szCs w:val="30"/>
          <w14:textFill>
            <w14:solidFill>
              <w14:schemeClr w14:val="tx1"/>
            </w14:solidFill>
          </w14:textFill>
        </w:rPr>
        <w:t>二、绩效评价工作开展情况</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楷体_GBK" w:hAnsi="方正楷体_GBK" w:eastAsia="方正楷体_GBK" w:cs="方正楷体_GBK"/>
          <w:b/>
          <w:bCs/>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sz w:val="30"/>
          <w:szCs w:val="30"/>
          <w14:textFill>
            <w14:solidFill>
              <w14:schemeClr w14:val="tx1"/>
            </w14:solidFill>
          </w14:textFill>
        </w:rPr>
        <w:t>（一）绩效评价目的、对象和范围</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kern w:val="28"/>
          <w:sz w:val="30"/>
          <w:szCs w:val="30"/>
          <w14:textFill>
            <w14:solidFill>
              <w14:schemeClr w14:val="tx1"/>
            </w14:solidFill>
          </w14:textFill>
        </w:rPr>
        <w:t>1、绩效评价的目的:</w:t>
      </w:r>
      <w:r>
        <w:rPr>
          <w:rFonts w:hint="eastAsia" w:ascii="方正仿宋_GB2312" w:hAnsi="方正仿宋_GB2312" w:eastAsia="方正仿宋_GB2312" w:cs="方正仿宋_GB2312"/>
          <w:color w:val="000000" w:themeColor="text1"/>
          <w:sz w:val="30"/>
          <w:szCs w:val="30"/>
          <w14:textFill>
            <w14:solidFill>
              <w14:schemeClr w14:val="tx1"/>
            </w14:solidFill>
          </w14:textFill>
        </w:rPr>
        <w:t>运用科学、规范的绩效评价方法，按照财政部关于印发项目支出绩效评价管理相关制度</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30"/>
          <w:szCs w:val="30"/>
          <w14:textFill>
            <w14:solidFill>
              <w14:schemeClr w14:val="tx1"/>
            </w14:solidFill>
          </w14:textFill>
        </w:rPr>
        <w:t>《自治区药品监督管理局预算绩效管理和评价暂行办法》（药监办〔2023〕33号）</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w:t>
      </w:r>
      <w:r>
        <w:rPr>
          <w:rFonts w:hint="eastAsia" w:ascii="方正仿宋_GB2312" w:hAnsi="方正仿宋_GB2312" w:eastAsia="方正仿宋_GB2312" w:cs="方正仿宋_GB2312"/>
          <w:color w:val="000000" w:themeColor="text1"/>
          <w:sz w:val="30"/>
          <w:szCs w:val="30"/>
          <w14:textFill>
            <w14:solidFill>
              <w14:schemeClr w14:val="tx1"/>
            </w14:solidFill>
          </w14:textFill>
        </w:rPr>
        <w:t>对</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项目进行科学评价，包括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从专项资金的角度提出有针对性的建议，提高对</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项目资金的有效利用度，进一步提升项目管理水平。</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2、绩效评价的对象:</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经费1716.56万元。</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3、绩效评价的范围：</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经费的决策、过程、产出、效益等。</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楷体_GBK" w:hAnsi="方正楷体_GBK" w:eastAsia="方正楷体_GBK" w:cs="方正楷体_GBK"/>
          <w:b/>
          <w:bCs/>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sz w:val="30"/>
          <w:szCs w:val="30"/>
          <w14:textFill>
            <w14:solidFill>
              <w14:schemeClr w14:val="tx1"/>
            </w14:solidFill>
          </w14:textFill>
        </w:rPr>
        <w:t>（二）绩效评价原则、评价指标体系（详情见表1）、评价方法、评价标准。</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lang w:val="en-US" w:eastAsia="zh-CN"/>
          <w14:textFill>
            <w14:solidFill>
              <w14:schemeClr w14:val="tx1"/>
            </w14:solidFill>
          </w14:textFill>
        </w:rPr>
        <w:t xml:space="preserve"> </w:t>
      </w:r>
      <w:r>
        <w:rPr>
          <w:rFonts w:hint="eastAsia" w:ascii="方正仿宋_GB2312" w:hAnsi="方正仿宋_GB2312" w:eastAsia="方正仿宋_GB2312" w:cs="方正仿宋_GB2312"/>
          <w:color w:val="000000" w:themeColor="text1"/>
          <w:sz w:val="30"/>
          <w:szCs w:val="30"/>
          <w14:textFill>
            <w14:solidFill>
              <w14:schemeClr w14:val="tx1"/>
            </w14:solidFill>
          </w14:textFill>
        </w:rPr>
        <w:t>1、绩效评价原则</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本次项目绩效评价遵循以下基本原则：</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（4）公开透明。绩效评价结果应依法依规公开，并自觉接受社会监督。</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2、评价指标体系</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（1）确定评价指标</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采用层次分析法，建立评价指标体系。绩效评价将指标分为项目资金执行指标、项目产出指标、项目效益指标、项目满意度指标四个维度，最终形成一个由多个相互联系的指标组成的多层次指标体系。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（2）确定权重</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color w:val="000000" w:themeColor="text1"/>
          <w:spacing w:val="17"/>
          <w:sz w:val="30"/>
          <w:szCs w:val="30"/>
          <w14:textFill>
            <w14:solidFill>
              <w14:schemeClr w14:val="tx1"/>
            </w14:solidFill>
          </w14:textFill>
        </w:rPr>
      </w:pPr>
      <w:r>
        <w:rPr>
          <w:rFonts w:hint="eastAsia" w:ascii="方正仿宋_GB2312" w:hAnsi="方正仿宋_GB2312" w:eastAsia="方正仿宋_GB2312" w:cs="方正仿宋_GB2312"/>
          <w:color w:val="000000" w:themeColor="text1"/>
          <w:spacing w:val="17"/>
          <w:sz w:val="30"/>
          <w:szCs w:val="30"/>
          <w14:textFill>
            <w14:solidFill>
              <w14:schemeClr w14:val="tx1"/>
            </w14:solidFill>
          </w14:textFill>
        </w:rPr>
        <w:t>确定各个指标相对于项目总体绩效的权重分值。在绩效评价指标体系中，项目资金执行率权重为10，项目产出权重值占50，项目效益权重值占30，项目满意度权重占10。</w:t>
      </w:r>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仿宋_GB2312" w:hAnsi="方正仿宋_GB2312" w:eastAsia="方正仿宋_GB2312" w:cs="方正仿宋_GB2312"/>
          <w:color w:val="000000" w:themeColor="text1"/>
          <w:spacing w:val="17"/>
          <w:sz w:val="30"/>
          <w:szCs w:val="30"/>
          <w14:textFill>
            <w14:solidFill>
              <w14:schemeClr w14:val="tx1"/>
            </w14:solidFill>
          </w14:textFill>
        </w:rPr>
      </w:pPr>
      <w:r>
        <w:rPr>
          <w:rFonts w:hint="eastAsia" w:ascii="方正仿宋_GB2312" w:hAnsi="方正仿宋_GB2312" w:eastAsia="方正仿宋_GB2312" w:cs="方正仿宋_GB2312"/>
          <w:color w:val="000000" w:themeColor="text1"/>
          <w:spacing w:val="17"/>
          <w:sz w:val="30"/>
          <w:szCs w:val="30"/>
          <w14:textFill>
            <w14:solidFill>
              <w14:schemeClr w14:val="tx1"/>
            </w14:solidFill>
          </w14:textFill>
        </w:rPr>
        <w:t>（3）确定指标标准值</w:t>
      </w:r>
    </w:p>
    <w:p>
      <w:pPr>
        <w:keepNext w:val="0"/>
        <w:keepLines w:val="0"/>
        <w:pageBreakBefore w:val="0"/>
        <w:kinsoku/>
        <w:wordWrap/>
        <w:overflowPunct/>
        <w:topLinePunct w:val="0"/>
        <w:autoSpaceDE/>
        <w:autoSpaceDN/>
        <w:bidi w:val="0"/>
        <w:adjustRightInd/>
        <w:snapToGrid/>
        <w:spacing w:line="540" w:lineRule="exact"/>
        <w:ind w:firstLine="668"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pacing w:val="17"/>
          <w:sz w:val="30"/>
          <w:szCs w:val="30"/>
          <w14:textFill>
            <w14:solidFill>
              <w14:schemeClr w14:val="tx1"/>
            </w14:solidFill>
          </w14:textFill>
        </w:rPr>
        <w:t>指标标准值是绩效评价指标的尺度，既要反映同类项目的先进水平，又要符合项目的实际绩效水平。具体</w:t>
      </w:r>
      <w:r>
        <w:rPr>
          <w:rFonts w:hint="eastAsia" w:ascii="方正仿宋_GB2312" w:hAnsi="方正仿宋_GB2312" w:eastAsia="方正仿宋_GB2312" w:cs="方正仿宋_GB2312"/>
          <w:color w:val="000000" w:themeColor="text1"/>
          <w:sz w:val="30"/>
          <w:szCs w:val="30"/>
          <w14:textFill>
            <w14:solidFill>
              <w14:schemeClr w14:val="tx1"/>
            </w14:solidFill>
          </w14:textFill>
        </w:rPr>
        <w:t>采用计划标准等确定此次绩效评价指标标准值。</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具体评价指标体系详情见附件1</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3、绩效评价方法</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（1）比较法</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（2）因素分析法</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30"/>
          <w:szCs w:val="30"/>
          <w:lang w:val="en-US" w:eastAsia="zh-CN"/>
          <w14:textFill>
            <w14:solidFill>
              <w14:schemeClr w14:val="tx1"/>
            </w14:solidFill>
          </w14:textFill>
        </w:rPr>
        <w:t>4、评价标准</w:t>
      </w:r>
    </w:p>
    <w:p>
      <w:pPr>
        <w:keepNext w:val="0"/>
        <w:keepLines w:val="0"/>
        <w:pageBreakBefore w:val="0"/>
        <w:kinsoku/>
        <w:wordWrap/>
        <w:overflowPunct/>
        <w:topLinePunct w:val="0"/>
        <w:autoSpaceDE/>
        <w:autoSpaceDN/>
        <w:bidi w:val="0"/>
        <w:adjustRightInd/>
        <w:snapToGrid/>
        <w:spacing w:line="54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绩效评价标准通常包括计划标准、行业标准、历史标准等，用于对绩效指标完成情况进行比较、分析、评价。本次评价主要采用了计划标准和</w:t>
      </w:r>
      <w:r>
        <w:rPr>
          <w:rFonts w:hint="eastAsia" w:ascii="方正仿宋_GB2312" w:hAnsi="方正仿宋_GB2312" w:eastAsia="方正仿宋_GB2312" w:cs="方正仿宋_GB2312"/>
          <w:color w:val="000000" w:themeColor="text1"/>
          <w:sz w:val="30"/>
          <w:szCs w:val="30"/>
          <w:lang w:val="en-US" w:eastAsia="zh-CN"/>
          <w14:textFill>
            <w14:solidFill>
              <w14:schemeClr w14:val="tx1"/>
            </w14:solidFill>
          </w14:textFill>
        </w:rPr>
        <w:t>历史</w:t>
      </w:r>
      <w:r>
        <w:rPr>
          <w:rFonts w:hint="eastAsia" w:ascii="方正仿宋_GB2312" w:hAnsi="方正仿宋_GB2312" w:eastAsia="方正仿宋_GB2312" w:cs="方正仿宋_GB2312"/>
          <w:color w:val="000000" w:themeColor="text1"/>
          <w:sz w:val="30"/>
          <w:szCs w:val="30"/>
          <w14:textFill>
            <w14:solidFill>
              <w14:schemeClr w14:val="tx1"/>
            </w14:solidFill>
          </w14:textFill>
        </w:rPr>
        <w:t>标准。</w:t>
      </w:r>
    </w:p>
    <w:p>
      <w:pPr>
        <w:keepNext w:val="0"/>
        <w:keepLines w:val="0"/>
        <w:pageBreakBefore w:val="0"/>
        <w:kinsoku/>
        <w:wordWrap/>
        <w:overflowPunct/>
        <w:topLinePunct w:val="0"/>
        <w:autoSpaceDE/>
        <w:autoSpaceDN/>
        <w:bidi w:val="0"/>
        <w:adjustRightInd/>
        <w:snapToGrid/>
        <w:spacing w:line="540" w:lineRule="exact"/>
        <w:ind w:firstLine="640"/>
        <w:textAlignment w:val="auto"/>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pPr>
      <w:bookmarkStart w:id="0" w:name="_Toc31464"/>
      <w:bookmarkStart w:id="1" w:name="_Toc17882"/>
      <w:r>
        <w:rPr>
          <w:rFonts w:hint="eastAsia" w:ascii="方正仿宋_GB2312" w:hAnsi="方正仿宋_GB2312" w:eastAsia="方正仿宋_GB2312" w:cs="方正仿宋_GB2312"/>
          <w:b/>
          <w:bCs/>
          <w:color w:val="000000" w:themeColor="text1"/>
          <w:kern w:val="0"/>
          <w:sz w:val="30"/>
          <w:szCs w:val="30"/>
          <w14:textFill>
            <w14:solidFill>
              <w14:schemeClr w14:val="tx1"/>
            </w14:solidFill>
          </w14:textFill>
        </w:rPr>
        <w:t>计划标准：</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指以预先制定的目标、计划、预算、定额等作为评价标准。</w:t>
      </w:r>
      <w:bookmarkEnd w:id="0"/>
      <w:bookmarkEnd w:id="1"/>
    </w:p>
    <w:p>
      <w:pPr>
        <w:keepNext w:val="0"/>
        <w:keepLines w:val="0"/>
        <w:pageBreakBefore w:val="0"/>
        <w:kinsoku/>
        <w:wordWrap/>
        <w:overflowPunct/>
        <w:topLinePunct w:val="0"/>
        <w:autoSpaceDE/>
        <w:autoSpaceDN/>
        <w:bidi w:val="0"/>
        <w:adjustRightInd/>
        <w:snapToGrid/>
        <w:spacing w:line="540" w:lineRule="exact"/>
        <w:ind w:firstLine="640"/>
        <w:textAlignment w:val="auto"/>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pPr>
      <w:bookmarkStart w:id="2" w:name="_Toc2318"/>
      <w:bookmarkStart w:id="3" w:name="_Toc5633"/>
      <w:r>
        <w:rPr>
          <w:rFonts w:hint="eastAsia" w:ascii="方正仿宋_GB2312" w:hAnsi="方正仿宋_GB2312" w:eastAsia="方正仿宋_GB2312" w:cs="方正仿宋_GB2312"/>
          <w:b/>
          <w:bCs/>
          <w:color w:val="000000" w:themeColor="text1"/>
          <w:kern w:val="0"/>
          <w:sz w:val="30"/>
          <w:szCs w:val="30"/>
          <w14:textFill>
            <w14:solidFill>
              <w14:schemeClr w14:val="tx1"/>
            </w14:solidFill>
          </w14:textFill>
        </w:rPr>
        <w:t>行业标准：</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指参照国家公布的行业指标数据制定的评价标准。</w:t>
      </w:r>
      <w:bookmarkEnd w:id="2"/>
      <w:bookmarkEnd w:id="3"/>
    </w:p>
    <w:p>
      <w:pPr>
        <w:keepNext w:val="0"/>
        <w:keepLines w:val="0"/>
        <w:pageBreakBefore w:val="0"/>
        <w:kinsoku/>
        <w:wordWrap/>
        <w:overflowPunct/>
        <w:topLinePunct w:val="0"/>
        <w:autoSpaceDE/>
        <w:autoSpaceDN/>
        <w:bidi w:val="0"/>
        <w:adjustRightInd/>
        <w:snapToGrid/>
        <w:spacing w:line="540" w:lineRule="exact"/>
        <w:ind w:firstLine="64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bookmarkStart w:id="4" w:name="_Toc430"/>
      <w:bookmarkStart w:id="5" w:name="_Toc16028"/>
      <w:r>
        <w:rPr>
          <w:rFonts w:hint="eastAsia" w:ascii="方正仿宋_GB2312" w:hAnsi="方正仿宋_GB2312" w:eastAsia="方正仿宋_GB2312" w:cs="方正仿宋_GB2312"/>
          <w:b/>
          <w:bCs/>
          <w:color w:val="000000" w:themeColor="text1"/>
          <w:kern w:val="0"/>
          <w:sz w:val="30"/>
          <w:szCs w:val="30"/>
          <w14:textFill>
            <w14:solidFill>
              <w14:schemeClr w14:val="tx1"/>
            </w14:solidFill>
          </w14:textFill>
        </w:rPr>
        <w:t>历史标准：</w:t>
      </w:r>
      <w:r>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t>指参照历史数据制定的评价标准，为体现绩效改进的原则，在可实现的条件下应当确定相对较高的评价标准。</w:t>
      </w:r>
      <w:bookmarkEnd w:id="4"/>
      <w:bookmarkEnd w:id="5"/>
    </w:p>
    <w:p>
      <w:pPr>
        <w:keepNext w:val="0"/>
        <w:keepLines w:val="0"/>
        <w:pageBreakBefore w:val="0"/>
        <w:kinsoku/>
        <w:wordWrap/>
        <w:overflowPunct/>
        <w:topLinePunct w:val="0"/>
        <w:autoSpaceDE/>
        <w:autoSpaceDN/>
        <w:bidi w:val="0"/>
        <w:adjustRightInd/>
        <w:snapToGrid/>
        <w:spacing w:line="540" w:lineRule="exact"/>
        <w:ind w:firstLine="641"/>
        <w:textAlignment w:val="auto"/>
        <w:rPr>
          <w:rFonts w:hint="eastAsia" w:ascii="方正楷体_GBK" w:hAnsi="方正楷体_GBK" w:eastAsia="方正楷体_GBK" w:cs="方正楷体_GBK"/>
          <w:b/>
          <w:bCs/>
          <w:color w:val="000000" w:themeColor="text1"/>
          <w:sz w:val="30"/>
          <w:szCs w:val="30"/>
          <w:lang w:val="en-US" w:eastAsia="zh-CN"/>
          <w14:textFill>
            <w14:solidFill>
              <w14:schemeClr w14:val="tx1"/>
            </w14:solidFill>
          </w14:textFill>
        </w:rPr>
      </w:pPr>
      <w:r>
        <w:rPr>
          <w:rFonts w:hint="eastAsia" w:ascii="方正楷体_GBK" w:hAnsi="方正楷体_GBK" w:eastAsia="方正楷体_GBK" w:cs="方正楷体_GBK"/>
          <w:b/>
          <w:bCs/>
          <w:color w:val="000000" w:themeColor="text1"/>
          <w:sz w:val="30"/>
          <w:szCs w:val="30"/>
          <w:lang w:val="en-US" w:eastAsia="zh-CN"/>
          <w14:textFill>
            <w14:solidFill>
              <w14:schemeClr w14:val="tx1"/>
            </w14:solidFill>
          </w14:textFill>
        </w:rPr>
        <w:t>（三）绩效评价工作过程</w:t>
      </w:r>
    </w:p>
    <w:p>
      <w:pPr>
        <w:keepNext w:val="0"/>
        <w:keepLines w:val="0"/>
        <w:pageBreakBefore w:val="0"/>
        <w:numPr>
          <w:ilvl w:val="-1"/>
          <w:numId w:val="0"/>
        </w:numPr>
        <w:kinsoku/>
        <w:wordWrap/>
        <w:overflowPunct/>
        <w:topLinePunct w:val="0"/>
        <w:autoSpaceDE/>
        <w:autoSpaceDN/>
        <w:bidi w:val="0"/>
        <w:adjustRightInd/>
        <w:snapToGrid/>
        <w:spacing w:line="540" w:lineRule="exact"/>
        <w:ind w:firstLine="640" w:firstLineChars="0"/>
        <w:textAlignment w:val="auto"/>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pP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1、</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numPr>
          <w:ilvl w:val="-1"/>
          <w:numId w:val="0"/>
        </w:numPr>
        <w:kinsoku/>
        <w:wordWrap/>
        <w:overflowPunct/>
        <w:topLinePunct w:val="0"/>
        <w:autoSpaceDE/>
        <w:autoSpaceDN/>
        <w:bidi w:val="0"/>
        <w:adjustRightInd/>
        <w:snapToGrid/>
        <w:spacing w:line="540" w:lineRule="exact"/>
        <w:ind w:firstLine="640" w:firstLineChars="0"/>
        <w:textAlignment w:val="auto"/>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pP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2、</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numPr>
          <w:ilvl w:val="-1"/>
          <w:numId w:val="0"/>
        </w:numPr>
        <w:kinsoku/>
        <w:wordWrap/>
        <w:overflowPunct/>
        <w:topLinePunct w:val="0"/>
        <w:autoSpaceDE/>
        <w:autoSpaceDN/>
        <w:bidi w:val="0"/>
        <w:adjustRightInd/>
        <w:snapToGrid/>
        <w:spacing w:line="540" w:lineRule="exact"/>
        <w:ind w:firstLine="640" w:firstLineChars="0"/>
        <w:textAlignment w:val="auto"/>
        <w:rPr>
          <w:rFonts w:hint="eastAsia" w:ascii="方正仿宋_GB2312" w:hAnsi="方正仿宋_GB2312" w:eastAsia="方正仿宋_GB2312" w:cs="方正仿宋_GB2312"/>
          <w:color w:val="000000" w:themeColor="text1"/>
          <w:kern w:val="0"/>
          <w:sz w:val="30"/>
          <w:szCs w:val="30"/>
          <w14:textFill>
            <w14:solidFill>
              <w14:schemeClr w14:val="tx1"/>
            </w14:solidFill>
          </w14:textFill>
        </w:rPr>
      </w:pP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3、</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b w:val="0"/>
          <w:bCs w:val="0"/>
          <w:color w:val="000000" w:themeColor="text1"/>
          <w:sz w:val="30"/>
          <w:szCs w:val="30"/>
          <w:lang w:eastAsia="zh-CN"/>
          <w14:textFill>
            <w14:solidFill>
              <w14:schemeClr w14:val="tx1"/>
            </w14:solidFill>
          </w14:textFill>
        </w:rPr>
      </w:pPr>
      <w:r>
        <w:rPr>
          <w:rFonts w:hint="eastAsia" w:ascii="黑体" w:hAnsi="黑体" w:eastAsia="黑体" w:cs="黑体"/>
          <w:color w:val="000000" w:themeColor="text1"/>
          <w:sz w:val="30"/>
          <w:szCs w:val="30"/>
          <w:lang w:eastAsia="zh-CN"/>
          <w14:textFill>
            <w14:solidFill>
              <w14:schemeClr w14:val="tx1"/>
            </w14:solidFill>
          </w14:textFill>
        </w:rPr>
        <w:t>四、</w:t>
      </w:r>
      <w:r>
        <w:rPr>
          <w:rFonts w:hint="eastAsia" w:ascii="黑体" w:hAnsi="黑体" w:eastAsia="黑体" w:cs="黑体"/>
          <w:color w:val="000000" w:themeColor="text1"/>
          <w:sz w:val="30"/>
          <w:szCs w:val="30"/>
          <w14:textFill>
            <w14:solidFill>
              <w14:schemeClr w14:val="tx1"/>
            </w14:solidFill>
          </w14:textFill>
        </w:rPr>
        <w:t>综合评价情况及评价结论（附相关评分表</w:t>
      </w:r>
      <w:r>
        <w:rPr>
          <w:rFonts w:hint="eastAsia" w:ascii="黑体" w:hAnsi="黑体" w:eastAsia="黑体" w:cs="黑体"/>
          <w:color w:val="000000" w:themeColor="text1"/>
          <w:sz w:val="30"/>
          <w:szCs w:val="30"/>
          <w:lang w:eastAsia="zh-CN"/>
          <w14:textFill>
            <w14:solidFill>
              <w14:schemeClr w14:val="tx1"/>
            </w14:solidFill>
          </w14:textFill>
        </w:rPr>
        <w:t>）</w:t>
      </w:r>
    </w:p>
    <w:p>
      <w:pPr>
        <w:keepNext w:val="0"/>
        <w:keepLines w:val="0"/>
        <w:pageBreakBefore w:val="0"/>
        <w:numPr>
          <w:ilvl w:val="-1"/>
          <w:numId w:val="0"/>
        </w:numPr>
        <w:kinsoku/>
        <w:wordWrap/>
        <w:overflowPunct/>
        <w:topLinePunct w:val="0"/>
        <w:autoSpaceDE/>
        <w:autoSpaceDN/>
        <w:bidi w:val="0"/>
        <w:adjustRightInd/>
        <w:snapToGrid/>
        <w:spacing w:line="540" w:lineRule="exact"/>
        <w:ind w:firstLine="640" w:firstLineChars="0"/>
        <w:textAlignment w:val="auto"/>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pP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对</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项目进行客观评价，最终评分结果：总得分为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100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 xml:space="preserve">分，属于“优”。其中，项目决策类指标权重为5分，得分为 </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5</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分，得分率为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100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%。项目过程类指标权重为5分，得分为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5</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分，得分率为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100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%。项目产出类指标权重为50分，得分为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50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分，得分率为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100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%。项目效益类指标权重为40分，得分为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40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分，得分率为</w:t>
      </w:r>
      <w:r>
        <w:rPr>
          <w:rFonts w:hint="eastAsia" w:ascii="方正仿宋_GB2312" w:hAnsi="方正仿宋_GB2312" w:eastAsia="方正仿宋_GB2312" w:cs="方正仿宋_GB2312"/>
          <w:bCs w:val="0"/>
          <w:color w:val="000000" w:themeColor="text1"/>
          <w:kern w:val="0"/>
          <w:sz w:val="30"/>
          <w:szCs w:val="30"/>
          <w:lang w:val="en-US" w:eastAsia="zh-CN"/>
          <w14:textFill>
            <w14:solidFill>
              <w14:schemeClr w14:val="tx1"/>
            </w14:solidFill>
          </w14:textFill>
        </w:rPr>
        <w:t>100</w:t>
      </w:r>
      <w:r>
        <w:rPr>
          <w:rFonts w:hint="eastAsia" w:ascii="方正仿宋_GB2312" w:hAnsi="方正仿宋_GB2312" w:eastAsia="方正仿宋_GB2312" w:cs="方正仿宋_GB2312"/>
          <w:bCs w:val="0"/>
          <w:color w:val="000000" w:themeColor="text1"/>
          <w:kern w:val="0"/>
          <w:sz w:val="30"/>
          <w:szCs w:val="30"/>
          <w14:textFill>
            <w14:solidFill>
              <w14:schemeClr w14:val="tx1"/>
            </w14:solidFill>
          </w14:textFill>
        </w:rPr>
        <w:t>%。</w:t>
      </w:r>
    </w:p>
    <w:p>
      <w:pPr>
        <w:pStyle w:val="2"/>
        <w:keepNext w:val="0"/>
        <w:keepLines w:val="0"/>
        <w:pageBreakBefore w:val="0"/>
        <w:kinsoku/>
        <w:wordWrap/>
        <w:overflowPunct/>
        <w:topLinePunct w:val="0"/>
        <w:autoSpaceDE/>
        <w:autoSpaceDN/>
        <w:bidi w:val="0"/>
        <w:adjustRightInd/>
        <w:snapToGrid/>
        <w:spacing w:line="540" w:lineRule="exact"/>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表1综合评分表</w:t>
      </w:r>
      <w:bookmarkStart w:id="7" w:name="_GoBack"/>
      <w:bookmarkEnd w:id="7"/>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427"/>
        <w:gridCol w:w="1816"/>
        <w:gridCol w:w="850"/>
        <w:gridCol w:w="900"/>
        <w:gridCol w:w="1017"/>
        <w:gridCol w:w="1033"/>
        <w:gridCol w:w="8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pageBreakBefore w:val="0"/>
              <w:widowControl/>
              <w:kinsoku/>
              <w:wordWrap/>
              <w:overflowPunct/>
              <w:topLinePunct w:val="0"/>
              <w:autoSpaceDE/>
              <w:autoSpaceDN/>
              <w:bidi w:val="0"/>
              <w:adjustRightInd/>
              <w:spacing w:line="240" w:lineRule="auto"/>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一级指标</w:t>
            </w:r>
          </w:p>
        </w:tc>
        <w:tc>
          <w:tcPr>
            <w:tcW w:w="990" w:type="dxa"/>
            <w:shd w:val="clear" w:color="auto" w:fill="BFBFB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分值</w:t>
            </w:r>
          </w:p>
        </w:tc>
        <w:tc>
          <w:tcPr>
            <w:tcW w:w="1427" w:type="dxa"/>
            <w:shd w:val="clear" w:color="auto" w:fill="BFBFB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二级指标</w:t>
            </w:r>
          </w:p>
        </w:tc>
        <w:tc>
          <w:tcPr>
            <w:tcW w:w="1816" w:type="dxa"/>
            <w:shd w:val="clear" w:color="auto" w:fill="BFBFB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三级指标</w:t>
            </w:r>
          </w:p>
        </w:tc>
        <w:tc>
          <w:tcPr>
            <w:tcW w:w="850" w:type="dxa"/>
            <w:shd w:val="clear" w:color="auto" w:fill="BFBFB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权重</w:t>
            </w:r>
          </w:p>
        </w:tc>
        <w:tc>
          <w:tcPr>
            <w:tcW w:w="900"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目标值</w:t>
            </w:r>
          </w:p>
        </w:tc>
        <w:tc>
          <w:tcPr>
            <w:tcW w:w="1017"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业绩值</w:t>
            </w:r>
          </w:p>
        </w:tc>
        <w:tc>
          <w:tcPr>
            <w:tcW w:w="1033"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得分率</w:t>
            </w:r>
          </w:p>
        </w:tc>
        <w:tc>
          <w:tcPr>
            <w:tcW w:w="817" w:type="dxa"/>
            <w:shd w:val="clear" w:color="auto" w:fill="BFBFBF"/>
            <w:vAlign w:val="center"/>
          </w:tcPr>
          <w:p>
            <w:pPr>
              <w:pageBreakBefore w:val="0"/>
              <w:widowControl/>
              <w:tabs>
                <w:tab w:val="left" w:pos="1333"/>
                <w:tab w:val="center" w:pos="3623"/>
              </w:tabs>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b/>
                <w:bCs/>
                <w:color w:val="000000" w:themeColor="text1"/>
                <w:kern w:val="0"/>
                <w:sz w:val="21"/>
                <w:szCs w:val="21"/>
                <w14:textFill>
                  <w14:solidFill>
                    <w14:schemeClr w14:val="tx1"/>
                  </w14:solidFill>
                </w14:textFill>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决策　</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　</w:t>
            </w:r>
          </w:p>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　</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pacing w:line="240" w:lineRule="auto"/>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5分</w:t>
            </w:r>
          </w:p>
        </w:tc>
        <w:tc>
          <w:tcPr>
            <w:tcW w:w="1427"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项目立项　</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立项依据</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充分性</w:t>
            </w:r>
          </w:p>
        </w:tc>
        <w:tc>
          <w:tcPr>
            <w:tcW w:w="85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0.5</w:t>
            </w:r>
          </w:p>
        </w:tc>
        <w:tc>
          <w:tcPr>
            <w:tcW w:w="90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0.5</w:t>
            </w:r>
          </w:p>
        </w:tc>
        <w:tc>
          <w:tcPr>
            <w:tcW w:w="10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0.5</w:t>
            </w:r>
          </w:p>
        </w:tc>
        <w:tc>
          <w:tcPr>
            <w:tcW w:w="1033"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w:t>
            </w: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立项程序</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规范性</w:t>
            </w:r>
          </w:p>
        </w:tc>
        <w:tc>
          <w:tcPr>
            <w:tcW w:w="85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0.5</w:t>
            </w:r>
          </w:p>
        </w:tc>
        <w:tc>
          <w:tcPr>
            <w:tcW w:w="90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0.5</w:t>
            </w:r>
          </w:p>
        </w:tc>
        <w:tc>
          <w:tcPr>
            <w:tcW w:w="10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0.5</w:t>
            </w:r>
          </w:p>
        </w:tc>
        <w:tc>
          <w:tcPr>
            <w:tcW w:w="1033"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0.</w:t>
            </w: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绩效目标　</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绩效目标</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合理性</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绩效指标</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明确性</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资金投入</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预算编制</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科学性</w:t>
            </w:r>
          </w:p>
        </w:tc>
        <w:tc>
          <w:tcPr>
            <w:tcW w:w="85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资金分配</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合理性</w:t>
            </w:r>
          </w:p>
        </w:tc>
        <w:tc>
          <w:tcPr>
            <w:tcW w:w="85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过程</w:t>
            </w:r>
          </w:p>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5分</w:t>
            </w:r>
          </w:p>
        </w:tc>
        <w:tc>
          <w:tcPr>
            <w:tcW w:w="1427"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资金管理</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资金到位率</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预算执行率</w:t>
            </w:r>
          </w:p>
        </w:tc>
        <w:tc>
          <w:tcPr>
            <w:tcW w:w="85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资金管理</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资金使用</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合规性</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组织实施</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管理制度</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健全性</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制度执行</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有效性</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产出</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50分</w:t>
            </w:r>
          </w:p>
        </w:tc>
        <w:tc>
          <w:tcPr>
            <w:tcW w:w="142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产出数量</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实际完成率</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产出质量</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质量达标率</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shd w:val="clear" w:color="auto" w:fill="FFFFFF"/>
            <w:vAlign w:val="center"/>
          </w:tcPr>
          <w:p>
            <w:pPr>
              <w:pageBreakBefore w:val="0"/>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产出时效</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完成及时性</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产出成本</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成本节约率</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效益　</w:t>
            </w:r>
          </w:p>
        </w:tc>
        <w:tc>
          <w:tcPr>
            <w:tcW w:w="990"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40分</w:t>
            </w:r>
          </w:p>
        </w:tc>
        <w:tc>
          <w:tcPr>
            <w:tcW w:w="1427" w:type="dxa"/>
            <w:vMerge w:val="restart"/>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项目效益　</w:t>
            </w: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实施效益</w:t>
            </w:r>
          </w:p>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（社会效益、经济效益、可持续效益）</w:t>
            </w:r>
          </w:p>
        </w:tc>
        <w:tc>
          <w:tcPr>
            <w:tcW w:w="85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30</w:t>
            </w:r>
          </w:p>
        </w:tc>
        <w:tc>
          <w:tcPr>
            <w:tcW w:w="900"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30</w:t>
            </w:r>
          </w:p>
        </w:tc>
        <w:tc>
          <w:tcPr>
            <w:tcW w:w="10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30</w:t>
            </w:r>
          </w:p>
        </w:tc>
        <w:tc>
          <w:tcPr>
            <w:tcW w:w="1033"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990"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427" w:type="dxa"/>
            <w:vMerge w:val="continue"/>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p>
        </w:tc>
        <w:tc>
          <w:tcPr>
            <w:tcW w:w="1816" w:type="dxa"/>
            <w:shd w:val="clear" w:color="auto"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满意度</w:t>
            </w:r>
          </w:p>
        </w:tc>
        <w:tc>
          <w:tcPr>
            <w:tcW w:w="85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900"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10</w:t>
            </w:r>
          </w:p>
        </w:tc>
        <w:tc>
          <w:tcPr>
            <w:tcW w:w="10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w:t>
            </w:r>
          </w:p>
        </w:tc>
        <w:tc>
          <w:tcPr>
            <w:tcW w:w="1033"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100</w:t>
            </w:r>
            <w:r>
              <w:rPr>
                <w:rFonts w:hint="eastAsia" w:ascii="方正仿宋_GB2312" w:hAnsi="方正仿宋_GB2312" w:eastAsia="方正仿宋_GB2312" w:cs="方正仿宋_GB2312"/>
                <w:color w:val="000000" w:themeColor="text1"/>
                <w:kern w:val="0"/>
                <w:sz w:val="21"/>
                <w:szCs w:val="21"/>
                <w14:textFill>
                  <w14:solidFill>
                    <w14:schemeClr w14:val="tx1"/>
                  </w14:solidFill>
                </w14:textFill>
              </w:rPr>
              <w:t>%</w:t>
            </w:r>
          </w:p>
        </w:tc>
        <w:tc>
          <w:tcPr>
            <w:tcW w:w="817" w:type="dxa"/>
            <w:shd w:val="clear" w:color="000000" w:fill="FFFFFF"/>
            <w:vAlign w:val="center"/>
          </w:tcPr>
          <w:p>
            <w:pPr>
              <w:pageBreakBefore w:val="0"/>
              <w:widowControl/>
              <w:kinsoku/>
              <w:wordWrap/>
              <w:overflowPunct/>
              <w:topLinePunct w:val="0"/>
              <w:autoSpaceDE/>
              <w:autoSpaceDN/>
              <w:bidi w:val="0"/>
              <w:adjustRightInd/>
              <w:spacing w:line="240" w:lineRule="auto"/>
              <w:jc w:val="center"/>
              <w:textAlignment w:val="auto"/>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21"/>
                <w:szCs w:val="21"/>
                <w:lang w:val="en-US" w:eastAsia="zh-CN"/>
                <w14:textFill>
                  <w14:solidFill>
                    <w14:schemeClr w14:val="tx1"/>
                  </w14:solidFill>
                </w14:textFill>
              </w:rPr>
              <w:t>10</w:t>
            </w:r>
          </w:p>
        </w:tc>
      </w:tr>
    </w:tbl>
    <w:p>
      <w:pPr>
        <w:pageBreakBefore w:val="0"/>
        <w:kinsoku/>
        <w:wordWrap/>
        <w:overflowPunct/>
        <w:topLinePunct w:val="0"/>
        <w:autoSpaceDE/>
        <w:autoSpaceDN/>
        <w:bidi w:val="0"/>
        <w:adjustRightInd/>
        <w:spacing w:line="560" w:lineRule="exact"/>
        <w:ind w:firstLine="300" w:firstLineChars="100"/>
        <w:textAlignment w:val="auto"/>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四、绩效评价指标分析</w:t>
      </w:r>
    </w:p>
    <w:p>
      <w:pPr>
        <w:pStyle w:val="2"/>
        <w:pageBreakBefore w:val="0"/>
        <w:kinsoku/>
        <w:wordWrap/>
        <w:overflowPunct/>
        <w:topLinePunct w:val="0"/>
        <w:autoSpaceDE/>
        <w:autoSpaceDN/>
        <w:bidi w:val="0"/>
        <w:adjustRightInd/>
        <w:spacing w:line="560" w:lineRule="exact"/>
        <w:ind w:firstLine="301" w:firstLineChars="100"/>
        <w:jc w:val="both"/>
        <w:textAlignment w:val="auto"/>
        <w:rPr>
          <w:rFonts w:hint="eastAsia" w:ascii="方正楷体_GBK" w:hAnsi="方正楷体_GBK" w:eastAsia="方正楷体_GBK" w:cs="方正楷体_GBK"/>
          <w:color w:val="000000" w:themeColor="text1"/>
          <w:sz w:val="30"/>
          <w:szCs w:val="30"/>
          <w14:textFill>
            <w14:solidFill>
              <w14:schemeClr w14:val="tx1"/>
            </w14:solidFill>
          </w14:textFill>
        </w:rPr>
      </w:pPr>
      <w:r>
        <w:rPr>
          <w:rFonts w:hint="eastAsia" w:ascii="方正楷体_GBK" w:hAnsi="方正楷体_GBK" w:eastAsia="方正楷体_GBK" w:cs="方正楷体_GBK"/>
          <w:color w:val="000000" w:themeColor="text1"/>
          <w:sz w:val="30"/>
          <w:szCs w:val="30"/>
          <w14:textFill>
            <w14:solidFill>
              <w14:schemeClr w14:val="tx1"/>
            </w14:solidFill>
          </w14:textFill>
        </w:rPr>
        <w:t>（一）项目决策情况</w:t>
      </w:r>
    </w:p>
    <w:p>
      <w:pPr>
        <w:pageBreakBefore w:val="0"/>
        <w:kinsoku/>
        <w:wordWrap/>
        <w:overflowPunct/>
        <w:topLinePunct w:val="0"/>
        <w:autoSpaceDE/>
        <w:autoSpaceDN/>
        <w:bidi w:val="0"/>
        <w:adjustRightInd/>
        <w:snapToGrid w:val="0"/>
        <w:spacing w:line="560" w:lineRule="exact"/>
        <w:ind w:firstLine="584" w:firstLineChars="200"/>
        <w:textAlignment w:val="auto"/>
        <w:rPr>
          <w:rStyle w:val="24"/>
          <w:rFonts w:hint="eastAsia" w:ascii="方正仿宋_GB2312" w:hAnsi="方正仿宋_GB2312" w:eastAsia="方正仿宋_GB2312" w:cs="方正仿宋_GB2312"/>
          <w:b w:val="0"/>
          <w:color w:val="000000" w:themeColor="text1"/>
          <w:spacing w:val="-4"/>
          <w:sz w:val="30"/>
          <w:szCs w:val="30"/>
          <w:highlight w:val="yellow"/>
          <w:lang w:val="en-US"/>
          <w14:textFill>
            <w14:solidFill>
              <w14:schemeClr w14:val="tx1"/>
            </w14:solidFill>
          </w14:textFill>
        </w:rPr>
      </w:pP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根据自治区药品监督管理局《关于印发自治区药品监督管理局所属事业单位主要职责内设机构和人员编制方案的通知》（新药监人﹝2019﹞62号）文件精神，</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自治区药监局本级部门（事业单位）</w:t>
      </w:r>
      <w:r>
        <w:rPr>
          <w:rFonts w:hint="eastAsia" w:ascii="方正仿宋_GB2312" w:hAnsi="方正仿宋_GB2312" w:eastAsia="方正仿宋_GB2312" w:cs="方正仿宋_GB2312"/>
          <w:color w:val="000000" w:themeColor="text1"/>
          <w:sz w:val="30"/>
          <w:szCs w:val="30"/>
          <w14:textFill>
            <w14:solidFill>
              <w14:schemeClr w14:val="tx1"/>
            </w14:solidFill>
          </w14:textFill>
        </w:rPr>
        <w:t>承担药品（含药用辅料、包装材料与容器）、医疗器械、化妆品的检验检测、质量分析和复验；药品、医疗器械、化妆品质量标准制修订及技术复核；开展检验检测新技术新方法新标准和仿制药质量相关技术研究；组织开展地方药品标准规定使用的对照品和对照药材的研究、制备和标定；组织开展对药品相关单位的培训、技术指导等工作。</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项目</w:t>
      </w:r>
      <w:r>
        <w:rPr>
          <w:rFonts w:hint="eastAsia" w:ascii="方正仿宋_GB2312" w:hAnsi="方正仿宋_GB2312" w:eastAsia="方正仿宋_GB2312" w:cs="方正仿宋_GB2312"/>
          <w:color w:val="000000" w:themeColor="text1"/>
          <w:sz w:val="30"/>
          <w:szCs w:val="30"/>
          <w14:textFill>
            <w14:solidFill>
              <w14:schemeClr w14:val="tx1"/>
            </w14:solidFill>
          </w14:textFill>
        </w:rPr>
        <w:t>经自治区药品监督管理局党组</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会议</w:t>
      </w:r>
      <w:r>
        <w:rPr>
          <w:rFonts w:hint="eastAsia" w:ascii="方正仿宋_GB2312" w:hAnsi="方正仿宋_GB2312" w:eastAsia="方正仿宋_GB2312" w:cs="方正仿宋_GB2312"/>
          <w:color w:val="000000" w:themeColor="text1"/>
          <w:sz w:val="30"/>
          <w:szCs w:val="30"/>
          <w14:textFill>
            <w14:solidFill>
              <w14:schemeClr w14:val="tx1"/>
            </w14:solidFill>
          </w14:textFill>
        </w:rPr>
        <w:t>研究，立项符合</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工作方案要求，属于自治区公共财政支持范围，该项目与其他项目不重复。按照项目绩效管理要求，</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自治区药监局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根据项目政策依据、资金性质、支持范围、实施内容、工作任务和政策对象等在编制</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2023</w:t>
      </w:r>
      <w:r>
        <w:rPr>
          <w:rFonts w:hint="eastAsia" w:ascii="方正仿宋_GB2312" w:hAnsi="方正仿宋_GB2312" w:eastAsia="方正仿宋_GB2312" w:cs="方正仿宋_GB2312"/>
          <w:color w:val="000000" w:themeColor="text1"/>
          <w:sz w:val="30"/>
          <w:szCs w:val="30"/>
          <w14:textFill>
            <w14:solidFill>
              <w14:schemeClr w14:val="tx1"/>
            </w14:solidFill>
          </w14:textFill>
        </w:rPr>
        <w:t>年度部门预算时一同编制、申报该项目绩效目标</w:t>
      </w:r>
      <w:r>
        <w:rPr>
          <w:rFonts w:hint="eastAsia" w:ascii="方正仿宋_GB2312" w:hAnsi="方正仿宋_GB2312" w:eastAsia="方正仿宋_GB2312" w:cs="方正仿宋_GB2312"/>
          <w:color w:val="000000" w:themeColor="text1"/>
          <w:sz w:val="30"/>
          <w:szCs w:val="30"/>
          <w:highlight w:val="none"/>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 xml:space="preserve"> </w:t>
      </w:r>
    </w:p>
    <w:p>
      <w:pPr>
        <w:pStyle w:val="2"/>
        <w:pageBreakBefore w:val="0"/>
        <w:numPr>
          <w:ilvl w:val="0"/>
          <w:numId w:val="0"/>
        </w:numPr>
        <w:kinsoku/>
        <w:wordWrap/>
        <w:overflowPunct/>
        <w:topLinePunct w:val="0"/>
        <w:autoSpaceDE/>
        <w:autoSpaceDN/>
        <w:bidi w:val="0"/>
        <w:adjustRightInd/>
        <w:spacing w:line="560" w:lineRule="exact"/>
        <w:ind w:firstLine="602" w:firstLineChars="200"/>
        <w:jc w:val="both"/>
        <w:textAlignment w:val="auto"/>
        <w:rPr>
          <w:rFonts w:hint="eastAsia" w:ascii="方正楷体_GBK" w:hAnsi="方正楷体_GBK" w:eastAsia="方正楷体_GBK" w:cs="方正楷体_GBK"/>
          <w:color w:val="000000" w:themeColor="text1"/>
          <w:sz w:val="30"/>
          <w:szCs w:val="30"/>
          <w14:textFill>
            <w14:solidFill>
              <w14:schemeClr w14:val="tx1"/>
            </w14:solidFill>
          </w14:textFill>
        </w:rPr>
      </w:pPr>
      <w:r>
        <w:rPr>
          <w:rFonts w:hint="eastAsia" w:ascii="方正楷体_GBK" w:hAnsi="方正楷体_GBK" w:eastAsia="方正楷体_GBK" w:cs="方正楷体_GBK"/>
          <w:color w:val="000000" w:themeColor="text1"/>
          <w:sz w:val="30"/>
          <w:szCs w:val="30"/>
          <w:lang w:eastAsia="zh-CN"/>
          <w14:textFill>
            <w14:solidFill>
              <w14:schemeClr w14:val="tx1"/>
            </w14:solidFill>
          </w14:textFill>
        </w:rPr>
        <w:t>（二）</w:t>
      </w:r>
      <w:r>
        <w:rPr>
          <w:rFonts w:hint="eastAsia" w:ascii="方正楷体_GBK" w:hAnsi="方正楷体_GBK" w:eastAsia="方正楷体_GBK" w:cs="方正楷体_GBK"/>
          <w:color w:val="000000" w:themeColor="text1"/>
          <w:sz w:val="30"/>
          <w:szCs w:val="30"/>
          <w14:textFill>
            <w14:solidFill>
              <w14:schemeClr w14:val="tx1"/>
            </w14:solidFill>
          </w14:textFill>
        </w:rPr>
        <w:t>项目过程情况</w:t>
      </w:r>
    </w:p>
    <w:p>
      <w:pPr>
        <w:pageBreakBefore w:val="0"/>
        <w:kinsoku/>
        <w:wordWrap/>
        <w:overflowPunct/>
        <w:topLinePunct w:val="0"/>
        <w:autoSpaceDE/>
        <w:autoSpaceDN/>
        <w:bidi w:val="0"/>
        <w:adjustRightInd/>
        <w:spacing w:line="560" w:lineRule="exact"/>
        <w:ind w:firstLine="600" w:firstLineChars="200"/>
        <w:textAlignment w:val="auto"/>
        <w:outlineLvl w:val="0"/>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14:textFill>
            <w14:solidFill>
              <w14:schemeClr w14:val="tx1"/>
            </w14:solidFill>
          </w14:textFill>
        </w:rPr>
        <w:t>根据自治区财政厅《关于拨付</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2023年度自治区药品抽检经费</w:t>
      </w:r>
      <w:r>
        <w:rPr>
          <w:rFonts w:hint="eastAsia" w:ascii="方正仿宋_GB2312" w:hAnsi="方正仿宋_GB2312" w:eastAsia="方正仿宋_GB2312" w:cs="方正仿宋_GB2312"/>
          <w:color w:val="000000" w:themeColor="text1"/>
          <w:sz w:val="30"/>
          <w:szCs w:val="30"/>
          <w14:textFill>
            <w14:solidFill>
              <w14:schemeClr w14:val="tx1"/>
            </w14:solidFill>
          </w14:textFill>
        </w:rPr>
        <w:t>的通知》，财政厅拨付</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Fonts w:hint="eastAsia" w:ascii="方正仿宋_GB2312" w:hAnsi="方正仿宋_GB2312" w:eastAsia="方正仿宋_GB2312" w:cs="方正仿宋_GB2312"/>
          <w:color w:val="000000" w:themeColor="text1"/>
          <w:sz w:val="30"/>
          <w:szCs w:val="30"/>
          <w14:textFill>
            <w14:solidFill>
              <w14:schemeClr w14:val="tx1"/>
            </w14:solidFill>
          </w14:textFill>
        </w:rPr>
        <w:t>经费共计1716.56万元，资金到位率为100%。截至</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2023</w:t>
      </w:r>
      <w:r>
        <w:rPr>
          <w:rFonts w:hint="eastAsia" w:ascii="方正仿宋_GB2312" w:hAnsi="方正仿宋_GB2312" w:eastAsia="方正仿宋_GB2312" w:cs="方正仿宋_GB2312"/>
          <w:color w:val="000000" w:themeColor="text1"/>
          <w:sz w:val="30"/>
          <w:szCs w:val="30"/>
          <w14:textFill>
            <w14:solidFill>
              <w14:schemeClr w14:val="tx1"/>
            </w14:solidFill>
          </w14:textFill>
        </w:rPr>
        <w:t>年12月31日，已全部使用完毕，资金执行率为100%。</w:t>
      </w:r>
    </w:p>
    <w:p>
      <w:pPr>
        <w:pageBreakBefore w:val="0"/>
        <w:kinsoku/>
        <w:wordWrap/>
        <w:overflowPunct/>
        <w:topLinePunct w:val="0"/>
        <w:autoSpaceDE/>
        <w:autoSpaceDN/>
        <w:bidi w:val="0"/>
        <w:adjustRightInd/>
        <w:snapToGrid w:val="0"/>
        <w:spacing w:line="560" w:lineRule="exact"/>
        <w:ind w:firstLine="600" w:firstLineChars="200"/>
        <w:textAlignment w:val="auto"/>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2023年度自治区药品抽检</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经费下达</w:t>
      </w:r>
      <w:r>
        <w:rPr>
          <w:rStyle w:val="24"/>
          <w:rFonts w:hint="eastAsia" w:ascii="方正仿宋_GB2312" w:hAnsi="方正仿宋_GB2312" w:eastAsia="方正仿宋_GB2312" w:cs="方正仿宋_GB2312"/>
          <w:b w:val="0"/>
          <w:color w:val="000000" w:themeColor="text1"/>
          <w:spacing w:val="-4"/>
          <w:sz w:val="30"/>
          <w:szCs w:val="30"/>
          <w:highlight w:val="none"/>
          <w:lang w:eastAsia="zh-CN"/>
          <w14:textFill>
            <w14:solidFill>
              <w14:schemeClr w14:val="tx1"/>
            </w14:solidFill>
          </w14:textFill>
        </w:rPr>
        <w:t>后，</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为规范财务行为，加强财务管理及监督，保障食品药品检验工作任务顺利完成，</w:t>
      </w:r>
      <w:r>
        <w:rPr>
          <w:rStyle w:val="24"/>
          <w:rFonts w:hint="eastAsia" w:ascii="方正仿宋_GB2312" w:hAnsi="方正仿宋_GB2312" w:eastAsia="方正仿宋_GB2312" w:cs="方正仿宋_GB2312"/>
          <w:b w:val="0"/>
          <w:color w:val="000000" w:themeColor="text1"/>
          <w:spacing w:val="-4"/>
          <w:sz w:val="30"/>
          <w:szCs w:val="30"/>
          <w:highlight w:val="none"/>
          <w:lang w:eastAsia="zh-CN"/>
          <w14:textFill>
            <w14:solidFill>
              <w14:schemeClr w14:val="tx1"/>
            </w14:solidFill>
          </w14:textFill>
        </w:rPr>
        <w:t>自治区药监局</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根据《预算法》《中华人民共和国会计法》《行政事业单位会计制度》《中华人民共和国政府采购法》等法律法规</w:t>
      </w:r>
      <w:r>
        <w:rPr>
          <w:rStyle w:val="24"/>
          <w:rFonts w:hint="eastAsia" w:ascii="方正仿宋_GB2312" w:hAnsi="方正仿宋_GB2312" w:eastAsia="方正仿宋_GB2312" w:cs="方正仿宋_GB2312"/>
          <w:b w:val="0"/>
          <w:color w:val="000000" w:themeColor="text1"/>
          <w:spacing w:val="-4"/>
          <w:sz w:val="30"/>
          <w:szCs w:val="30"/>
          <w:highlight w:val="none"/>
          <w:lang w:eastAsia="zh-CN"/>
          <w14:textFill>
            <w14:solidFill>
              <w14:schemeClr w14:val="tx1"/>
            </w14:solidFill>
          </w14:textFill>
        </w:rPr>
        <w:t>及《自治区药品监督管理局财务及内控管理办法》（药监办〔2023〕18号）《自治区药品监督管理局采购管理办法》（药监办〔2023〕19号）</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，从财务流程中的各个环节控制、规范财务行为。</w:t>
      </w:r>
      <w:r>
        <w:rPr>
          <w:rStyle w:val="24"/>
          <w:rFonts w:hint="eastAsia" w:ascii="方正仿宋_GB2312" w:hAnsi="方正仿宋_GB2312" w:eastAsia="方正仿宋_GB2312" w:cs="方正仿宋_GB2312"/>
          <w:b w:val="0"/>
          <w:color w:val="000000" w:themeColor="text1"/>
          <w:spacing w:val="-4"/>
          <w:sz w:val="30"/>
          <w:szCs w:val="30"/>
          <w:highlight w:val="none"/>
          <w:lang w:eastAsia="zh-CN"/>
          <w14:textFill>
            <w14:solidFill>
              <w14:schemeClr w14:val="tx1"/>
            </w14:solidFill>
          </w14:textFill>
        </w:rPr>
        <w:t>对自治区本级资金</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项目执行过程中实行专人管理，保证资金专款专用,严格按照项目预算执行。全年召开多次预算执行进度会，通报预算执行情况及任务完成情况</w:t>
      </w:r>
      <w:r>
        <w:rPr>
          <w:rStyle w:val="24"/>
          <w:rFonts w:hint="eastAsia" w:ascii="方正仿宋_GB2312" w:hAnsi="方正仿宋_GB2312" w:eastAsia="方正仿宋_GB2312" w:cs="方正仿宋_GB2312"/>
          <w:b w:val="0"/>
          <w:color w:val="000000" w:themeColor="text1"/>
          <w:spacing w:val="-4"/>
          <w:sz w:val="30"/>
          <w:szCs w:val="30"/>
          <w:highlight w:val="none"/>
          <w:lang w:eastAsia="zh-CN"/>
          <w14:textFill>
            <w14:solidFill>
              <w14:schemeClr w14:val="tx1"/>
            </w14:solidFill>
          </w14:textFill>
        </w:rPr>
        <w:t>，督促本级部门（事业单位）和各地（州、市）市场监管局推进预算执行进度</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w:t>
      </w:r>
      <w:r>
        <w:rPr>
          <w:rStyle w:val="24"/>
          <w:rFonts w:hint="eastAsia" w:ascii="方正仿宋_GB2312" w:hAnsi="方正仿宋_GB2312" w:eastAsia="方正仿宋_GB2312" w:cs="方正仿宋_GB2312"/>
          <w:b w:val="0"/>
          <w:color w:val="000000" w:themeColor="text1"/>
          <w:spacing w:val="-4"/>
          <w:sz w:val="30"/>
          <w:szCs w:val="30"/>
          <w:highlight w:val="none"/>
          <w:lang w:eastAsia="zh-CN"/>
          <w14:textFill>
            <w14:solidFill>
              <w14:schemeClr w14:val="tx1"/>
            </w14:solidFill>
          </w14:textFill>
        </w:rPr>
        <w:t>同时，</w:t>
      </w:r>
      <w:r>
        <w:rPr>
          <w:rStyle w:val="24"/>
          <w:rFonts w:hint="eastAsia" w:ascii="方正仿宋_GB2312" w:hAnsi="方正仿宋_GB2312" w:eastAsia="方正仿宋_GB2312" w:cs="方正仿宋_GB2312"/>
          <w:b w:val="0"/>
          <w:color w:val="000000" w:themeColor="text1"/>
          <w:spacing w:val="-4"/>
          <w:sz w:val="30"/>
          <w:szCs w:val="30"/>
          <w:highlight w:val="none"/>
          <w14:textFill>
            <w14:solidFill>
              <w14:schemeClr w14:val="tx1"/>
            </w14:solidFill>
          </w14:textFill>
        </w:rPr>
        <w:t>严格按照财务管理制度履行审批及报销程序，自觉接受内控工作小组监督检查，确保项目资金使用安全有效，执行期间无违规执行项目资金情况发生。</w:t>
      </w:r>
    </w:p>
    <w:p>
      <w:pPr>
        <w:pageBreakBefore w:val="0"/>
        <w:kinsoku/>
        <w:wordWrap/>
        <w:overflowPunct/>
        <w:topLinePunct w:val="0"/>
        <w:autoSpaceDE/>
        <w:autoSpaceDN/>
        <w:bidi w:val="0"/>
        <w:adjustRightInd/>
        <w:snapToGrid w:val="0"/>
        <w:spacing w:line="560" w:lineRule="exact"/>
        <w:ind w:firstLine="584" w:firstLineChars="200"/>
        <w:textAlignment w:val="auto"/>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pP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根据</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2023</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年</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药品</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抽检工作方案，各地（州、市）市场监督管理局于</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2023</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年5月底前完成药品抽样，10月31日前完成检验工作，11月15日前形成质量分析报告上报自治区药品监督管理局执法稽查局。各地（州、市）市场监督管理局对本辖区生产企业在产的品种进行了全覆盖抽样，对企业生产的新品种索取该产品的企业标准，随样品一并寄</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送自治区药品检验研究</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院，生产企业无库存或达不到抽检数量要求的可从流通或使用环节进行抽检。</w:t>
      </w:r>
    </w:p>
    <w:p>
      <w:pPr>
        <w:pageBreakBefore w:val="0"/>
        <w:kinsoku/>
        <w:wordWrap/>
        <w:overflowPunct/>
        <w:topLinePunct w:val="0"/>
        <w:autoSpaceDE/>
        <w:autoSpaceDN/>
        <w:bidi w:val="0"/>
        <w:adjustRightInd/>
        <w:snapToGrid w:val="0"/>
        <w:spacing w:line="560" w:lineRule="exact"/>
        <w:ind w:firstLine="600" w:firstLineChars="200"/>
        <w:textAlignment w:val="auto"/>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药品</w:t>
      </w:r>
      <w:r>
        <w:rPr>
          <w:rFonts w:hint="eastAsia" w:ascii="方正仿宋_GB2312" w:hAnsi="方正仿宋_GB2312" w:eastAsia="方正仿宋_GB2312" w:cs="方正仿宋_GB2312"/>
          <w:color w:val="000000" w:themeColor="text1"/>
          <w:sz w:val="30"/>
          <w:szCs w:val="30"/>
          <w14:textFill>
            <w14:solidFill>
              <w14:schemeClr w14:val="tx1"/>
            </w14:solidFill>
          </w14:textFill>
        </w:rPr>
        <w:t>检验工作</w:t>
      </w: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按照</w:t>
      </w:r>
      <w:r>
        <w:rPr>
          <w:rFonts w:hint="eastAsia" w:ascii="方正仿宋_GB2312" w:hAnsi="方正仿宋_GB2312" w:eastAsia="方正仿宋_GB2312" w:cs="方正仿宋_GB2312"/>
          <w:color w:val="000000" w:themeColor="text1"/>
          <w:sz w:val="30"/>
          <w:szCs w:val="30"/>
          <w14:textFill>
            <w14:solidFill>
              <w14:schemeClr w14:val="tx1"/>
            </w14:solidFill>
          </w14:textFill>
        </w:rPr>
        <w:t>严格的内控程序，并根据检验各个环节编制了受控程序文件和质量手册，从收样、合同评审到检验全过程进行监控，定期进行内控评审，对不符合项定期进行整改。对于检验工作的各个环节都有严格的程序文件，内控小组定期对原始数据进行追溯。把源头严防、过程严管、风险严控的“严”要求，落实到检验工作全过程中，保证检验报告数据的准确性及公正性。</w:t>
      </w:r>
    </w:p>
    <w:p>
      <w:pPr>
        <w:pStyle w:val="20"/>
        <w:pageBreakBefore w:val="0"/>
        <w:numPr>
          <w:ilvl w:val="0"/>
          <w:numId w:val="0"/>
        </w:numPr>
        <w:kinsoku/>
        <w:wordWrap/>
        <w:overflowPunct/>
        <w:topLinePunct w:val="0"/>
        <w:autoSpaceDE/>
        <w:autoSpaceDN/>
        <w:bidi w:val="0"/>
        <w:adjustRightInd/>
        <w:spacing w:line="560" w:lineRule="exact"/>
        <w:ind w:firstLine="602" w:firstLineChars="200"/>
        <w:textAlignment w:val="auto"/>
        <w:rPr>
          <w:rFonts w:hint="eastAsia" w:ascii="方正楷体_GBK" w:hAnsi="方正楷体_GBK" w:eastAsia="方正楷体_GBK" w:cs="方正楷体_GBK"/>
          <w:b/>
          <w:bCs/>
          <w:color w:val="000000" w:themeColor="text1"/>
          <w:sz w:val="30"/>
          <w:szCs w:val="30"/>
          <w:lang w:eastAsia="zh-CN"/>
          <w14:textFill>
            <w14:solidFill>
              <w14:schemeClr w14:val="tx1"/>
            </w14:solidFill>
          </w14:textFill>
        </w:rPr>
      </w:pPr>
      <w:r>
        <w:rPr>
          <w:rFonts w:hint="eastAsia" w:ascii="方正楷体_GBK" w:hAnsi="方正楷体_GBK" w:eastAsia="方正楷体_GBK" w:cs="方正楷体_GBK"/>
          <w:b/>
          <w:bCs/>
          <w:color w:val="000000" w:themeColor="text1"/>
          <w:sz w:val="30"/>
          <w:szCs w:val="30"/>
          <w:lang w:eastAsia="zh-CN"/>
          <w14:textFill>
            <w14:solidFill>
              <w14:schemeClr w14:val="tx1"/>
            </w14:solidFill>
          </w14:textFill>
        </w:rPr>
        <w:t>（三）</w:t>
      </w:r>
      <w:r>
        <w:rPr>
          <w:rFonts w:hint="eastAsia" w:ascii="方正楷体_GBK" w:hAnsi="方正楷体_GBK" w:eastAsia="方正楷体_GBK" w:cs="方正楷体_GBK"/>
          <w:b/>
          <w:bCs/>
          <w:color w:val="000000" w:themeColor="text1"/>
          <w:sz w:val="30"/>
          <w:szCs w:val="30"/>
          <w14:textFill>
            <w14:solidFill>
              <w14:schemeClr w14:val="tx1"/>
            </w14:solidFill>
          </w14:textFill>
        </w:rPr>
        <w:t>项目产出</w:t>
      </w:r>
      <w:r>
        <w:rPr>
          <w:rFonts w:hint="eastAsia" w:ascii="方正楷体_GBK" w:hAnsi="方正楷体_GBK" w:eastAsia="方正楷体_GBK" w:cs="方正楷体_GBK"/>
          <w:b/>
          <w:bCs/>
          <w:color w:val="000000" w:themeColor="text1"/>
          <w:sz w:val="30"/>
          <w:szCs w:val="30"/>
          <w:lang w:eastAsia="zh-CN"/>
          <w14:textFill>
            <w14:solidFill>
              <w14:schemeClr w14:val="tx1"/>
            </w14:solidFill>
          </w14:textFill>
        </w:rPr>
        <w:t>情况</w:t>
      </w:r>
    </w:p>
    <w:p>
      <w:pPr>
        <w:pageBreakBefore w:val="0"/>
        <w:kinsoku/>
        <w:wordWrap/>
        <w:overflowPunct/>
        <w:topLinePunct w:val="0"/>
        <w:autoSpaceDE/>
        <w:autoSpaceDN/>
        <w:bidi w:val="0"/>
        <w:adjustRightInd/>
        <w:spacing w:line="560" w:lineRule="exact"/>
        <w:ind w:firstLine="640"/>
        <w:textAlignment w:val="auto"/>
        <w:rPr>
          <w:rFonts w:hint="eastAsia" w:ascii="方正仿宋_GB2312" w:hAnsi="方正仿宋_GB2312" w:eastAsia="方正仿宋_GB2312" w:cs="方正仿宋_GB2312"/>
          <w:color w:val="000000" w:themeColor="text1"/>
          <w:kern w:val="0"/>
          <w:sz w:val="30"/>
          <w:szCs w:val="30"/>
          <w:highlight w:val="none"/>
          <w:lang w:eastAsia="zh-CN"/>
          <w14:textFill>
            <w14:solidFill>
              <w14:schemeClr w14:val="tx1"/>
            </w14:solidFill>
          </w14:textFill>
        </w:rPr>
      </w:pP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数量指标方面：</w:t>
      </w:r>
      <w:r>
        <w:rPr>
          <w:rStyle w:val="24"/>
          <w:rFonts w:hint="eastAsia" w:ascii="方正仿宋_GB2312" w:hAnsi="方正仿宋_GB2312" w:eastAsia="方正仿宋_GB2312" w:cs="方正仿宋_GB2312"/>
          <w:b w:val="0"/>
          <w:color w:val="000000" w:themeColor="text1"/>
          <w:spacing w:val="-4"/>
          <w:sz w:val="30"/>
          <w:szCs w:val="30"/>
          <w:highlight w:val="none"/>
          <w:lang w:val="en-US" w:eastAsia="zh-CN"/>
          <w14:textFill>
            <w14:solidFill>
              <w14:schemeClr w14:val="tx1"/>
            </w14:solidFill>
          </w14:textFill>
        </w:rPr>
        <w:t>1.</w:t>
      </w:r>
      <w:r>
        <w:rPr>
          <w:rFonts w:hint="eastAsia" w:ascii="方正仿宋_GB2312" w:hAnsi="方正仿宋_GB2312" w:eastAsia="方正仿宋_GB2312" w:cs="方正仿宋_GB2312"/>
          <w:color w:val="000000" w:themeColor="text1"/>
          <w:kern w:val="0"/>
          <w:sz w:val="30"/>
          <w:szCs w:val="30"/>
          <w:highlight w:val="none"/>
          <w:lang w:eastAsia="zh-CN"/>
          <w14:textFill>
            <w14:solidFill>
              <w14:schemeClr w14:val="tx1"/>
            </w14:solidFill>
          </w14:textFill>
        </w:rPr>
        <w:t>设置有</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药品生产、流通环节（含医院制剂）抽检批次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，指标值≥1080批次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,实际完成1080批次，完成率100%，偏差率0</w:t>
      </w:r>
      <w:r>
        <w:rPr>
          <w:rFonts w:hint="eastAsia" w:ascii="方正仿宋_GB2312" w:hAnsi="方正仿宋_GB2312" w:eastAsia="方正仿宋_GB2312" w:cs="方正仿宋_GB2312"/>
          <w:color w:val="000000" w:themeColor="text1"/>
          <w:kern w:val="0"/>
          <w:sz w:val="30"/>
          <w:szCs w:val="30"/>
          <w:highlight w:val="none"/>
          <w:lang w:eastAsia="zh-CN"/>
          <w14:textFill>
            <w14:solidFill>
              <w14:schemeClr w14:val="tx1"/>
            </w14:solidFill>
          </w14:textFill>
        </w:rPr>
        <w:t>。</w:t>
      </w:r>
    </w:p>
    <w:p>
      <w:pPr>
        <w:pageBreakBefore w:val="0"/>
        <w:kinsoku/>
        <w:wordWrap/>
        <w:overflowPunct/>
        <w:topLinePunct w:val="0"/>
        <w:autoSpaceDE/>
        <w:autoSpaceDN/>
        <w:bidi w:val="0"/>
        <w:adjustRightInd/>
        <w:spacing w:line="560" w:lineRule="exact"/>
        <w:ind w:firstLine="640"/>
        <w:textAlignment w:val="auto"/>
        <w:rPr>
          <w:rFonts w:hint="default"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中药饮片生产流通环节抽检批次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指标，指标值</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≥820批次，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实际完成820批次，完成率100%，偏差率0。</w:t>
      </w:r>
    </w:p>
    <w:p>
      <w:pPr>
        <w:pageBreakBefore w:val="0"/>
        <w:kinsoku/>
        <w:wordWrap/>
        <w:overflowPunct/>
        <w:topLinePunct w:val="0"/>
        <w:autoSpaceDE/>
        <w:autoSpaceDN/>
        <w:bidi w:val="0"/>
        <w:adjustRightInd/>
        <w:spacing w:line="560" w:lineRule="exact"/>
        <w:ind w:firstLine="640"/>
        <w:textAlignment w:val="auto"/>
        <w:rPr>
          <w:rFonts w:hint="default"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医疗器械监督抽样批次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指标值</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300</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实际完成300批次，完成率100%，偏差率0。</w:t>
      </w:r>
    </w:p>
    <w:p>
      <w:pPr>
        <w:pageBreakBefore w:val="0"/>
        <w:kinsoku/>
        <w:wordWrap/>
        <w:overflowPunct/>
        <w:topLinePunct w:val="0"/>
        <w:autoSpaceDE/>
        <w:autoSpaceDN/>
        <w:bidi w:val="0"/>
        <w:adjustRightInd/>
        <w:spacing w:line="560" w:lineRule="exact"/>
        <w:ind w:firstLine="640"/>
        <w:textAlignment w:val="auto"/>
        <w:rPr>
          <w:rFonts w:hint="default"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化妆品监督抽样批次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w:t>
      </w:r>
      <w:r>
        <w:rPr>
          <w:rFonts w:hint="eastAsia" w:ascii="方正仿宋_GB2312" w:hAnsi="方正仿宋_GB2312" w:eastAsia="方正仿宋_GB2312" w:cs="方正仿宋_GB2312"/>
          <w:color w:val="000000" w:themeColor="text1"/>
          <w:kern w:val="0"/>
          <w:sz w:val="30"/>
          <w:szCs w:val="30"/>
          <w:highlight w:val="none"/>
          <w:lang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指标值</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≥250批次，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250</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批次，完成率100%，偏差率0。</w:t>
      </w:r>
    </w:p>
    <w:p>
      <w:pPr>
        <w:pageBreakBefore w:val="0"/>
        <w:kinsoku/>
        <w:wordWrap/>
        <w:overflowPunct/>
        <w:topLinePunct w:val="0"/>
        <w:autoSpaceDE/>
        <w:autoSpaceDN/>
        <w:bidi w:val="0"/>
        <w:adjustRightInd/>
        <w:spacing w:line="560" w:lineRule="exact"/>
        <w:ind w:firstLine="640"/>
        <w:textAlignment w:val="auto"/>
        <w:rPr>
          <w:rFonts w:hint="default"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5.</w:t>
      </w:r>
      <w:r>
        <w:rPr>
          <w:rFonts w:hint="eastAsia" w:ascii="方正仿宋_GB2312" w:hAnsi="方正仿宋_GB2312" w:eastAsia="方正仿宋_GB2312" w:cs="方正仿宋_GB2312"/>
          <w:color w:val="000000" w:themeColor="text1"/>
          <w:kern w:val="0"/>
          <w:sz w:val="30"/>
          <w:szCs w:val="30"/>
          <w:highlight w:val="none"/>
          <w:lang w:eastAsia="zh-CN"/>
          <w14:textFill>
            <w14:solidFill>
              <w14:schemeClr w14:val="tx1"/>
            </w14:solidFill>
          </w14:textFill>
        </w:rPr>
        <w:t>还设置了</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药品评价性抽样检验批次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指标值</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≥1008批次，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1008</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批次，完成率100%，偏差率0。</w:t>
      </w:r>
    </w:p>
    <w:p>
      <w:pPr>
        <w:pageBreakBefore w:val="0"/>
        <w:kinsoku/>
        <w:wordWrap/>
        <w:overflowPunct/>
        <w:topLinePunct w:val="0"/>
        <w:autoSpaceDE/>
        <w:autoSpaceDN/>
        <w:bidi w:val="0"/>
        <w:adjustRightInd/>
        <w:spacing w:line="560" w:lineRule="exact"/>
        <w:ind w:firstLine="640"/>
        <w:textAlignment w:val="auto"/>
        <w:rPr>
          <w:rFonts w:hint="default"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6.</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开展血液制品签发同步模拟运转实验批次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指标值</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≥15批次，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15</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批次，完成率100%，偏差率0。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Style w:val="24"/>
          <w:rFonts w:hint="eastAsia" w:ascii="方正仿宋_GB2312" w:hAnsi="方正仿宋_GB2312" w:eastAsia="方正仿宋_GB2312" w:cs="方正仿宋_GB2312"/>
          <w:b w:val="0"/>
          <w:color w:val="000000" w:themeColor="text1"/>
          <w:spacing w:val="-4"/>
          <w:sz w:val="30"/>
          <w:szCs w:val="30"/>
          <w:highlight w:val="none"/>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7.</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对进口药材、化妆品风险监测、注册检验等检验批次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指标值</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≥335批次，</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实际完成</w:t>
      </w:r>
      <w:r>
        <w:rPr>
          <w:rFonts w:hint="eastAsia" w:ascii="方正仿宋_GB2312" w:hAnsi="方正仿宋_GB2312" w:eastAsia="方正仿宋_GB2312" w:cs="方正仿宋_GB2312"/>
          <w:color w:val="000000" w:themeColor="text1"/>
          <w:kern w:val="0"/>
          <w:sz w:val="30"/>
          <w:szCs w:val="30"/>
          <w:highlight w:val="none"/>
          <w14:textFill>
            <w14:solidFill>
              <w14:schemeClr w14:val="tx1"/>
            </w14:solidFill>
          </w14:textFill>
        </w:rPr>
        <w:t>335</w:t>
      </w:r>
      <w:r>
        <w:rPr>
          <w:rFonts w:hint="eastAsia" w:ascii="方正仿宋_GB2312" w:hAnsi="方正仿宋_GB2312" w:eastAsia="方正仿宋_GB2312" w:cs="方正仿宋_GB2312"/>
          <w:color w:val="000000" w:themeColor="text1"/>
          <w:kern w:val="0"/>
          <w:sz w:val="30"/>
          <w:szCs w:val="30"/>
          <w:highlight w:val="none"/>
          <w:lang w:val="en-US" w:eastAsia="zh-CN"/>
          <w14:textFill>
            <w14:solidFill>
              <w14:schemeClr w14:val="tx1"/>
            </w14:solidFill>
          </w14:textFill>
        </w:rPr>
        <w:t>批次，完成率100%，偏差率0。</w:t>
      </w:r>
    </w:p>
    <w:p>
      <w:pPr>
        <w:pageBreakBefore w:val="0"/>
        <w:kinsoku/>
        <w:wordWrap/>
        <w:overflowPunct/>
        <w:topLinePunct w:val="0"/>
        <w:autoSpaceDE/>
        <w:autoSpaceDN/>
        <w:bidi w:val="0"/>
        <w:adjustRightInd/>
        <w:spacing w:line="560" w:lineRule="exact"/>
        <w:ind w:firstLine="640"/>
        <w:textAlignment w:val="auto"/>
        <w:rPr>
          <w:rStyle w:val="54"/>
          <w:rFonts w:hint="eastAsia" w:ascii="方正仿宋_GB2312" w:hAnsi="方正仿宋_GB2312" w:eastAsia="方正仿宋_GB2312" w:cs="方正仿宋_GB2312"/>
          <w:color w:val="000000" w:themeColor="text1"/>
          <w:sz w:val="30"/>
          <w:szCs w:val="30"/>
          <w14:textFill>
            <w14:solidFill>
              <w14:schemeClr w14:val="tx1"/>
            </w14:solidFill>
          </w14:textFill>
        </w:rPr>
      </w:pPr>
      <w:r>
        <w:rPr>
          <w:rStyle w:val="54"/>
          <w:rFonts w:hint="eastAsia" w:ascii="方正仿宋_GB2312" w:hAnsi="方正仿宋_GB2312" w:eastAsia="方正仿宋_GB2312" w:cs="方正仿宋_GB2312"/>
          <w:color w:val="000000" w:themeColor="text1"/>
          <w:sz w:val="30"/>
          <w:szCs w:val="30"/>
          <w14:textFill>
            <w14:solidFill>
              <w14:schemeClr w14:val="tx1"/>
            </w14:solidFill>
          </w14:textFill>
        </w:rPr>
        <w:t>质量指标方面：“两品一械”检验准确率达到95%以上。</w:t>
      </w:r>
    </w:p>
    <w:p>
      <w:pPr>
        <w:pStyle w:val="2"/>
        <w:pageBreakBefore w:val="0"/>
        <w:kinsoku/>
        <w:wordWrap/>
        <w:overflowPunct/>
        <w:topLinePunct w:val="0"/>
        <w:autoSpaceDE/>
        <w:autoSpaceDN/>
        <w:bidi w:val="0"/>
        <w:adjustRightInd/>
        <w:spacing w:line="560" w:lineRule="exact"/>
        <w:ind w:firstLine="600" w:firstLineChars="200"/>
        <w:jc w:val="both"/>
        <w:textAlignment w:val="auto"/>
        <w:rPr>
          <w:rStyle w:val="54"/>
          <w:rFonts w:hint="eastAsia" w:ascii="方正仿宋_GB2312" w:hAnsi="方正仿宋_GB2312" w:eastAsia="方正仿宋_GB2312" w:cs="方正仿宋_GB2312"/>
          <w:b w:val="0"/>
          <w:bCs w:val="0"/>
          <w:color w:val="000000" w:themeColor="text1"/>
          <w:sz w:val="30"/>
          <w:szCs w:val="30"/>
          <w14:textFill>
            <w14:solidFill>
              <w14:schemeClr w14:val="tx1"/>
            </w14:solidFill>
          </w14:textFill>
        </w:rPr>
      </w:pPr>
      <w:r>
        <w:rPr>
          <w:rStyle w:val="54"/>
          <w:rFonts w:hint="eastAsia" w:ascii="方正仿宋_GB2312" w:hAnsi="方正仿宋_GB2312" w:eastAsia="方正仿宋_GB2312" w:cs="方正仿宋_GB2312"/>
          <w:b w:val="0"/>
          <w:bCs w:val="0"/>
          <w:color w:val="000000" w:themeColor="text1"/>
          <w:sz w:val="30"/>
          <w:szCs w:val="30"/>
          <w:lang w:eastAsia="zh-CN"/>
          <w14:textFill>
            <w14:solidFill>
              <w14:schemeClr w14:val="tx1"/>
            </w14:solidFill>
          </w14:textFill>
        </w:rPr>
        <w:t>时效指标方面：</w:t>
      </w:r>
      <w:r>
        <w:rPr>
          <w:rStyle w:val="54"/>
          <w:rFonts w:hint="eastAsia" w:ascii="方正仿宋_GB2312" w:hAnsi="方正仿宋_GB2312" w:eastAsia="方正仿宋_GB2312" w:cs="方正仿宋_GB2312"/>
          <w:b w:val="0"/>
          <w:bCs w:val="0"/>
          <w:color w:val="000000" w:themeColor="text1"/>
          <w:sz w:val="30"/>
          <w:szCs w:val="30"/>
          <w14:textFill>
            <w14:solidFill>
              <w14:schemeClr w14:val="tx1"/>
            </w14:solidFill>
          </w14:textFill>
        </w:rPr>
        <w:t>抽样检验任务按期完成率达到95%以上。</w:t>
      </w:r>
    </w:p>
    <w:p>
      <w:pPr>
        <w:pStyle w:val="2"/>
        <w:pageBreakBefore w:val="0"/>
        <w:kinsoku/>
        <w:wordWrap/>
        <w:overflowPunct/>
        <w:topLinePunct w:val="0"/>
        <w:autoSpaceDE/>
        <w:autoSpaceDN/>
        <w:bidi w:val="0"/>
        <w:adjustRightInd/>
        <w:spacing w:line="560" w:lineRule="exact"/>
        <w:ind w:firstLine="600" w:firstLineChars="200"/>
        <w:jc w:val="both"/>
        <w:textAlignment w:val="auto"/>
        <w:rPr>
          <w:rStyle w:val="54"/>
          <w:rFonts w:hint="eastAsia" w:ascii="方正仿宋_GB2312" w:hAnsi="方正仿宋_GB2312" w:eastAsia="方正仿宋_GB2312" w:cs="方正仿宋_GB2312"/>
          <w:b w:val="0"/>
          <w:bCs w:val="0"/>
          <w:color w:val="000000" w:themeColor="text1"/>
          <w:sz w:val="30"/>
          <w:szCs w:val="30"/>
          <w:lang w:eastAsia="zh-CN"/>
          <w14:textFill>
            <w14:solidFill>
              <w14:schemeClr w14:val="tx1"/>
            </w14:solidFill>
          </w14:textFill>
        </w:rPr>
      </w:pPr>
      <w:r>
        <w:rPr>
          <w:rStyle w:val="54"/>
          <w:rFonts w:hint="eastAsia" w:ascii="方正仿宋_GB2312" w:hAnsi="方正仿宋_GB2312" w:eastAsia="方正仿宋_GB2312" w:cs="方正仿宋_GB2312"/>
          <w:b w:val="0"/>
          <w:bCs w:val="0"/>
          <w:color w:val="000000" w:themeColor="text1"/>
          <w:sz w:val="30"/>
          <w:szCs w:val="30"/>
          <w14:textFill>
            <w14:solidFill>
              <w14:schemeClr w14:val="tx1"/>
            </w14:solidFill>
          </w14:textFill>
        </w:rPr>
        <w:t>成本指标方面：药品抽样检验（含评价性抽检）、委托服务经费</w:t>
      </w:r>
      <w:r>
        <w:rPr>
          <w:rStyle w:val="54"/>
          <w:rFonts w:hint="eastAsia" w:ascii="方正仿宋_GB2312" w:hAnsi="方正仿宋_GB2312" w:eastAsia="方正仿宋_GB2312" w:cs="方正仿宋_GB2312"/>
          <w:b w:val="0"/>
          <w:bCs w:val="0"/>
          <w:color w:val="000000" w:themeColor="text1"/>
          <w:sz w:val="30"/>
          <w:szCs w:val="30"/>
          <w:lang w:eastAsia="zh-CN"/>
          <w14:textFill>
            <w14:solidFill>
              <w14:schemeClr w14:val="tx1"/>
            </w14:solidFill>
          </w14:textFill>
        </w:rPr>
        <w:t>，严格控制在</w:t>
      </w:r>
      <w:r>
        <w:rPr>
          <w:rStyle w:val="54"/>
          <w:rFonts w:hint="eastAsia" w:ascii="方正仿宋_GB2312" w:hAnsi="方正仿宋_GB2312" w:eastAsia="方正仿宋_GB2312" w:cs="方正仿宋_GB2312"/>
          <w:b w:val="0"/>
          <w:bCs w:val="0"/>
          <w:color w:val="000000" w:themeColor="text1"/>
          <w:sz w:val="30"/>
          <w:szCs w:val="30"/>
          <w14:textFill>
            <w14:solidFill>
              <w14:schemeClr w14:val="tx1"/>
            </w14:solidFill>
          </w14:textFill>
        </w:rPr>
        <w:t>1716.56万元</w:t>
      </w:r>
      <w:r>
        <w:rPr>
          <w:rStyle w:val="54"/>
          <w:rFonts w:hint="eastAsia" w:ascii="方正仿宋_GB2312" w:hAnsi="方正仿宋_GB2312" w:eastAsia="方正仿宋_GB2312" w:cs="方正仿宋_GB2312"/>
          <w:b w:val="0"/>
          <w:bCs w:val="0"/>
          <w:color w:val="000000" w:themeColor="text1"/>
          <w:sz w:val="30"/>
          <w:szCs w:val="30"/>
          <w:lang w:eastAsia="zh-CN"/>
          <w14:textFill>
            <w14:solidFill>
              <w14:schemeClr w14:val="tx1"/>
            </w14:solidFill>
          </w14:textFill>
        </w:rPr>
        <w:t>以内。</w:t>
      </w:r>
    </w:p>
    <w:p>
      <w:pPr>
        <w:pageBreakBefore w:val="0"/>
        <w:kinsoku/>
        <w:wordWrap/>
        <w:overflowPunct/>
        <w:topLinePunct w:val="0"/>
        <w:autoSpaceDE/>
        <w:autoSpaceDN/>
        <w:bidi w:val="0"/>
        <w:adjustRightInd/>
        <w:spacing w:line="560" w:lineRule="exact"/>
        <w:ind w:firstLine="600" w:firstLineChars="200"/>
        <w:textAlignment w:val="auto"/>
        <w:outlineLvl w:val="0"/>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Style w:val="54"/>
          <w:rFonts w:hint="eastAsia" w:ascii="方正仿宋_GB2312" w:hAnsi="方正仿宋_GB2312" w:eastAsia="方正仿宋_GB2312" w:cs="方正仿宋_GB2312"/>
          <w:color w:val="000000" w:themeColor="text1"/>
          <w:sz w:val="30"/>
          <w:szCs w:val="30"/>
          <w14:textFill>
            <w14:solidFill>
              <w14:schemeClr w14:val="tx1"/>
            </w14:solidFill>
          </w14:textFill>
        </w:rPr>
        <w:t>时效指标方面：各项</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检验任务均在</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2023</w:t>
      </w:r>
      <w:r>
        <w:rPr>
          <w:rStyle w:val="24"/>
          <w:rFonts w:hint="eastAsia" w:ascii="方正仿宋_GB2312" w:hAnsi="方正仿宋_GB2312" w:eastAsia="方正仿宋_GB2312" w:cs="方正仿宋_GB2312"/>
          <w:b w:val="0"/>
          <w:color w:val="000000" w:themeColor="text1"/>
          <w:spacing w:val="-4"/>
          <w:sz w:val="30"/>
          <w:szCs w:val="30"/>
          <w14:textFill>
            <w14:solidFill>
              <w14:schemeClr w14:val="tx1"/>
            </w14:solidFill>
          </w14:textFill>
        </w:rPr>
        <w:t>年12月前完成。</w:t>
      </w:r>
    </w:p>
    <w:p>
      <w:pPr>
        <w:pStyle w:val="20"/>
        <w:pageBreakBefore w:val="0"/>
        <w:numPr>
          <w:ilvl w:val="0"/>
          <w:numId w:val="0"/>
        </w:numPr>
        <w:kinsoku/>
        <w:wordWrap/>
        <w:overflowPunct/>
        <w:topLinePunct w:val="0"/>
        <w:autoSpaceDE/>
        <w:autoSpaceDN/>
        <w:bidi w:val="0"/>
        <w:adjustRightInd/>
        <w:spacing w:line="560" w:lineRule="exact"/>
        <w:ind w:firstLine="602" w:firstLineChars="200"/>
        <w:textAlignment w:val="auto"/>
        <w:rPr>
          <w:rFonts w:hint="eastAsia" w:ascii="方正楷体_GBK" w:hAnsi="方正楷体_GBK" w:eastAsia="方正楷体_GBK" w:cs="方正楷体_GBK"/>
          <w:b/>
          <w:bCs/>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sz w:val="30"/>
          <w:szCs w:val="30"/>
          <w:lang w:eastAsia="zh-CN"/>
          <w14:textFill>
            <w14:solidFill>
              <w14:schemeClr w14:val="tx1"/>
            </w14:solidFill>
          </w14:textFill>
        </w:rPr>
        <w:t>（四）项目</w:t>
      </w:r>
      <w:r>
        <w:rPr>
          <w:rFonts w:hint="eastAsia" w:ascii="方正楷体_GBK" w:hAnsi="方正楷体_GBK" w:eastAsia="方正楷体_GBK" w:cs="方正楷体_GBK"/>
          <w:b/>
          <w:bCs/>
          <w:color w:val="000000" w:themeColor="text1"/>
          <w:sz w:val="30"/>
          <w:szCs w:val="30"/>
          <w14:textFill>
            <w14:solidFill>
              <w14:schemeClr w14:val="tx1"/>
            </w14:solidFill>
          </w14:textFill>
        </w:rPr>
        <w:t>效益情况</w:t>
      </w:r>
    </w:p>
    <w:p>
      <w:pPr>
        <w:pageBreakBefore w:val="0"/>
        <w:kinsoku/>
        <w:wordWrap/>
        <w:overflowPunct/>
        <w:topLinePunct w:val="0"/>
        <w:autoSpaceDE/>
        <w:autoSpaceDN/>
        <w:bidi w:val="0"/>
        <w:adjustRightInd/>
        <w:spacing w:line="560" w:lineRule="exact"/>
        <w:ind w:firstLine="640"/>
        <w:textAlignment w:val="auto"/>
        <w:rPr>
          <w:rStyle w:val="54"/>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pPr>
      <w:r>
        <w:rPr>
          <w:rStyle w:val="54"/>
          <w:rFonts w:hint="eastAsia" w:ascii="方正仿宋_GB2312" w:hAnsi="方正仿宋_GB2312" w:eastAsia="方正仿宋_GB2312" w:cs="方正仿宋_GB2312"/>
          <w:color w:val="000000" w:themeColor="text1"/>
          <w:sz w:val="30"/>
          <w:szCs w:val="30"/>
          <w14:textFill>
            <w14:solidFill>
              <w14:schemeClr w14:val="tx1"/>
            </w14:solidFill>
          </w14:textFill>
        </w:rPr>
        <w:t>社会效益指标方面：提升“两品一械”监管服务水平</w:t>
      </w:r>
      <w:r>
        <w:rPr>
          <w:rStyle w:val="54"/>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，评价结果为有效提升。减少假冒伪劣“两品一械”制售行为，评价结果为有效减少。</w:t>
      </w:r>
    </w:p>
    <w:p>
      <w:pPr>
        <w:pageBreakBefore w:val="0"/>
        <w:kinsoku/>
        <w:wordWrap/>
        <w:overflowPunct/>
        <w:topLinePunct w:val="0"/>
        <w:autoSpaceDE/>
        <w:autoSpaceDN/>
        <w:bidi w:val="0"/>
        <w:adjustRightInd/>
        <w:spacing w:line="560" w:lineRule="exact"/>
        <w:ind w:firstLine="600"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Style w:val="54"/>
          <w:rFonts w:hint="eastAsia" w:ascii="方正仿宋_GB2312" w:hAnsi="方正仿宋_GB2312" w:eastAsia="方正仿宋_GB2312" w:cs="方正仿宋_GB2312"/>
          <w:color w:val="000000" w:themeColor="text1"/>
          <w:sz w:val="30"/>
          <w:szCs w:val="30"/>
          <w14:textFill>
            <w14:solidFill>
              <w14:schemeClr w14:val="tx1"/>
            </w14:solidFill>
          </w14:textFill>
        </w:rPr>
        <w:t>满意度指标方面：</w:t>
      </w:r>
      <w:r>
        <w:rPr>
          <w:rStyle w:val="24"/>
          <w:rFonts w:hint="eastAsia" w:ascii="方正仿宋_GB2312" w:hAnsi="方正仿宋_GB2312" w:eastAsia="方正仿宋_GB2312" w:cs="方正仿宋_GB2312"/>
          <w:b w:val="0"/>
          <w:color w:val="000000" w:themeColor="text1"/>
          <w:spacing w:val="-4"/>
          <w:sz w:val="30"/>
          <w:szCs w:val="30"/>
          <w:lang w:eastAsia="zh-CN"/>
          <w14:textFill>
            <w14:solidFill>
              <w14:schemeClr w14:val="tx1"/>
            </w14:solidFill>
          </w14:textFill>
        </w:rPr>
        <w:t>2023</w:t>
      </w:r>
      <w:r>
        <w:rPr>
          <w:rFonts w:hint="eastAsia" w:ascii="方正仿宋_GB2312" w:hAnsi="方正仿宋_GB2312" w:eastAsia="方正仿宋_GB2312" w:cs="方正仿宋_GB2312"/>
          <w:color w:val="000000" w:themeColor="text1"/>
          <w:sz w:val="30"/>
          <w:szCs w:val="30"/>
          <w14:textFill>
            <w14:solidFill>
              <w14:schemeClr w14:val="tx1"/>
            </w14:solidFill>
          </w14:textFill>
        </w:rPr>
        <w:t>年公众对药品安全的满意度达到</w:t>
      </w:r>
      <w:r>
        <w:rPr>
          <w:rFonts w:hint="eastAsia" w:ascii="方正仿宋_GB2312" w:hAnsi="方正仿宋_GB2312" w:eastAsia="方正仿宋_GB2312" w:cs="方正仿宋_GB2312"/>
          <w:color w:val="000000" w:themeColor="text1"/>
          <w:sz w:val="30"/>
          <w:szCs w:val="30"/>
          <w:lang w:val="en-US" w:eastAsia="zh-CN"/>
          <w14:textFill>
            <w14:solidFill>
              <w14:schemeClr w14:val="tx1"/>
            </w14:solidFill>
          </w14:textFill>
        </w:rPr>
        <w:t>85</w:t>
      </w:r>
      <w:r>
        <w:rPr>
          <w:rFonts w:hint="eastAsia" w:ascii="方正仿宋_GB2312" w:hAnsi="方正仿宋_GB2312" w:eastAsia="方正仿宋_GB2312" w:cs="方正仿宋_GB2312"/>
          <w:color w:val="000000" w:themeColor="text1"/>
          <w:sz w:val="30"/>
          <w:szCs w:val="30"/>
          <w14:textFill>
            <w14:solidFill>
              <w14:schemeClr w14:val="tx1"/>
            </w14:solidFill>
          </w14:textFill>
        </w:rPr>
        <w:t>%以上，全年无投诉，为行政审批提供了强有力的技术支撑。</w:t>
      </w:r>
    </w:p>
    <w:p>
      <w:pPr>
        <w:pageBreakBefore w:val="0"/>
        <w:kinsoku/>
        <w:wordWrap/>
        <w:overflowPunct/>
        <w:topLinePunct w:val="0"/>
        <w:autoSpaceDE/>
        <w:autoSpaceDN/>
        <w:bidi w:val="0"/>
        <w:adjustRightInd/>
        <w:spacing w:line="560" w:lineRule="exact"/>
        <w:ind w:firstLine="641"/>
        <w:textAlignment w:val="auto"/>
        <w:rPr>
          <w:rStyle w:val="54"/>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五、主要经验及做法、存在的问题及原因分析</w:t>
      </w:r>
    </w:p>
    <w:p>
      <w:pPr>
        <w:pageBreakBefore w:val="0"/>
        <w:kinsoku/>
        <w:wordWrap/>
        <w:overflowPunct/>
        <w:topLinePunct w:val="0"/>
        <w:autoSpaceDE/>
        <w:autoSpaceDN/>
        <w:bidi w:val="0"/>
        <w:adjustRightInd/>
        <w:spacing w:line="560" w:lineRule="exact"/>
        <w:ind w:firstLine="530" w:firstLineChars="181"/>
        <w:textAlignment w:val="auto"/>
        <w:rPr>
          <w:rFonts w:hint="eastAsia" w:ascii="方正楷体_GBK" w:hAnsi="方正楷体_GBK" w:eastAsia="方正楷体_GBK" w:cs="方正楷体_GBK"/>
          <w:b/>
          <w:color w:val="000000" w:themeColor="text1"/>
          <w:spacing w:val="-4"/>
          <w:sz w:val="30"/>
          <w:szCs w:val="30"/>
          <w14:textFill>
            <w14:solidFill>
              <w14:schemeClr w14:val="tx1"/>
            </w14:solidFill>
          </w14:textFill>
        </w:rPr>
      </w:pPr>
      <w:r>
        <w:rPr>
          <w:rFonts w:hint="eastAsia" w:ascii="方正楷体_GBK" w:hAnsi="方正楷体_GBK" w:eastAsia="方正楷体_GBK" w:cs="方正楷体_GBK"/>
          <w:b/>
          <w:color w:val="000000" w:themeColor="text1"/>
          <w:spacing w:val="-4"/>
          <w:sz w:val="30"/>
          <w:szCs w:val="30"/>
          <w14:textFill>
            <w14:solidFill>
              <w14:schemeClr w14:val="tx1"/>
            </w14:solidFill>
          </w14:textFill>
        </w:rPr>
        <w:t>（一）主要经验及做法</w:t>
      </w:r>
    </w:p>
    <w:p>
      <w:pPr>
        <w:pageBreakBefore w:val="0"/>
        <w:kinsoku/>
        <w:wordWrap/>
        <w:overflowPunct/>
        <w:topLinePunct w:val="0"/>
        <w:autoSpaceDE/>
        <w:autoSpaceDN/>
        <w:bidi w:val="0"/>
        <w:adjustRightInd/>
        <w:spacing w:line="560" w:lineRule="exact"/>
        <w:ind w:firstLine="600" w:firstLineChars="200"/>
        <w:textAlignment w:val="auto"/>
        <w:rPr>
          <w:rFonts w:hint="eastAsia" w:ascii="方正仿宋_GB2312" w:hAnsi="方正仿宋_GB2312" w:eastAsia="方正仿宋_GB2312" w:cs="方正仿宋_GB2312"/>
          <w:bCs/>
          <w:color w:val="000000" w:themeColor="text1"/>
          <w:sz w:val="30"/>
          <w:szCs w:val="30"/>
          <w14:textFill>
            <w14:solidFill>
              <w14:schemeClr w14:val="tx1"/>
            </w14:solidFill>
          </w14:textFill>
        </w:rPr>
      </w:pP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为确保项目顺利进行，</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项目实施前认真做好调查研究，制订完善的项目实施方案</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。项目实施过程中做好定期监督检查，严格按照项目</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实施方案执行；</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项目资金使用过程中，严格</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审核</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把关，</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落实</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项目资金</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预算</w:t>
      </w:r>
      <w:r>
        <w:rPr>
          <w:rFonts w:hint="eastAsia" w:ascii="方正仿宋_GB2312" w:hAnsi="方正仿宋_GB2312" w:eastAsia="方正仿宋_GB2312" w:cs="方正仿宋_GB2312"/>
          <w:bCs/>
          <w:color w:val="000000" w:themeColor="text1"/>
          <w:sz w:val="30"/>
          <w:szCs w:val="30"/>
          <w:lang w:eastAsia="zh-CN"/>
          <w14:textFill>
            <w14:solidFill>
              <w14:schemeClr w14:val="tx1"/>
            </w14:solidFill>
          </w14:textFill>
        </w:rPr>
        <w:t>，</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严禁无预算或超预算支出</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提高资金使用效益</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。项目完成后，</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及时进行工作总结，查找项目实施方案中存在的漏洞，执行过程中存在的问题和风险，以及</w:t>
      </w:r>
      <w:r>
        <w:rPr>
          <w:rFonts w:hint="eastAsia" w:ascii="方正仿宋_GB2312" w:hAnsi="方正仿宋_GB2312" w:eastAsia="方正仿宋_GB2312" w:cs="方正仿宋_GB2312"/>
          <w:bCs/>
          <w:color w:val="000000" w:themeColor="text1"/>
          <w:sz w:val="30"/>
          <w:szCs w:val="30"/>
          <w14:textFill>
            <w14:solidFill>
              <w14:schemeClr w14:val="tx1"/>
            </w14:solidFill>
          </w14:textFill>
        </w:rPr>
        <w:t>群众民意调查</w:t>
      </w:r>
      <w:r>
        <w:rPr>
          <w:rFonts w:hint="eastAsia" w:ascii="方正仿宋_GB2312" w:hAnsi="方正仿宋_GB2312" w:eastAsia="方正仿宋_GB2312" w:cs="方正仿宋_GB2312"/>
          <w:bCs/>
          <w:color w:val="000000" w:themeColor="text1"/>
          <w:sz w:val="30"/>
          <w:szCs w:val="30"/>
          <w:lang w:val="en-US" w:eastAsia="zh-CN"/>
          <w14:textFill>
            <w14:solidFill>
              <w14:schemeClr w14:val="tx1"/>
            </w14:solidFill>
          </w14:textFill>
        </w:rPr>
        <w:t>等工作，确保今后工作中不再出现类似情况。</w:t>
      </w:r>
    </w:p>
    <w:p>
      <w:pPr>
        <w:pageBreakBefore w:val="0"/>
        <w:kinsoku/>
        <w:wordWrap/>
        <w:overflowPunct/>
        <w:topLinePunct w:val="0"/>
        <w:autoSpaceDE/>
        <w:autoSpaceDN/>
        <w:bidi w:val="0"/>
        <w:adjustRightInd/>
        <w:spacing w:before="0" w:after="0" w:line="560" w:lineRule="exact"/>
        <w:ind w:firstLine="600" w:firstLineChars="200"/>
        <w:jc w:val="left"/>
        <w:textAlignment w:val="auto"/>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pP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严格坚持先</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审批、再执行</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再</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验收、</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后</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拨付的原则，</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专款专用，</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杜绝</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出现</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挤占</w:t>
      </w:r>
      <w:r>
        <w:rPr>
          <w:rFonts w:hint="eastAsia" w:ascii="方正仿宋_GB2312" w:hAnsi="方正仿宋_GB2312" w:eastAsia="方正仿宋_GB2312" w:cs="方正仿宋_GB2312"/>
          <w:b w:val="0"/>
          <w:bCs/>
          <w:color w:val="000000" w:themeColor="text1"/>
          <w:kern w:val="2"/>
          <w:sz w:val="30"/>
          <w:szCs w:val="30"/>
          <w:lang w:eastAsia="zh-CN"/>
          <w14:textFill>
            <w14:solidFill>
              <w14:schemeClr w14:val="tx1"/>
            </w14:solidFill>
          </w14:textFill>
        </w:rPr>
        <w:t>、</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挪用资金</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的</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现象发生。</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财务</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、纪检等职能部门全面参与专项资金事前、事中和事后全过程的</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审核、</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监管。在监督环节上，实行关口前移，从事后监督管理转向事前审核，事中监督和事后检查稽核相结合的监督制度上来，形成多环节全过程的监督管理格局，</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做到事前提醒、事中监督、事后检查，</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尽早发现问题，</w:t>
      </w:r>
      <w:r>
        <w:rPr>
          <w:rFonts w:hint="eastAsia" w:ascii="方正仿宋_GB2312" w:hAnsi="方正仿宋_GB2312" w:eastAsia="方正仿宋_GB2312" w:cs="方正仿宋_GB2312"/>
          <w:b w:val="0"/>
          <w:bCs/>
          <w:color w:val="000000" w:themeColor="text1"/>
          <w:kern w:val="2"/>
          <w:sz w:val="30"/>
          <w:szCs w:val="30"/>
          <w:lang w:val="en-US" w:eastAsia="zh-CN"/>
          <w14:textFill>
            <w14:solidFill>
              <w14:schemeClr w14:val="tx1"/>
            </w14:solidFill>
          </w14:textFill>
        </w:rPr>
        <w:t>尽</w:t>
      </w:r>
      <w:r>
        <w:rPr>
          <w:rFonts w:hint="eastAsia" w:ascii="方正仿宋_GB2312" w:hAnsi="方正仿宋_GB2312" w:eastAsia="方正仿宋_GB2312" w:cs="方正仿宋_GB2312"/>
          <w:b w:val="0"/>
          <w:bCs/>
          <w:color w:val="000000" w:themeColor="text1"/>
          <w:kern w:val="2"/>
          <w:sz w:val="30"/>
          <w:szCs w:val="30"/>
          <w14:textFill>
            <w14:solidFill>
              <w14:schemeClr w14:val="tx1"/>
            </w14:solidFill>
          </w14:textFill>
        </w:rPr>
        <w:t>早解决问题。</w:t>
      </w:r>
    </w:p>
    <w:p>
      <w:pPr>
        <w:keepNext/>
        <w:keepLines/>
        <w:pageBreakBefore w:val="0"/>
        <w:numPr>
          <w:ilvl w:val="0"/>
          <w:numId w:val="4"/>
        </w:numPr>
        <w:kinsoku/>
        <w:wordWrap/>
        <w:overflowPunct/>
        <w:topLinePunct w:val="0"/>
        <w:autoSpaceDE/>
        <w:autoSpaceDN/>
        <w:bidi w:val="0"/>
        <w:adjustRightInd/>
        <w:spacing w:line="560" w:lineRule="exact"/>
        <w:ind w:firstLine="641"/>
        <w:textAlignment w:val="auto"/>
        <w:rPr>
          <w:rFonts w:hint="eastAsia" w:ascii="方正楷体_GBK" w:hAnsi="方正楷体_GBK" w:eastAsia="方正楷体_GBK" w:cs="方正楷体_GBK"/>
          <w:b/>
          <w:bCs/>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sz w:val="30"/>
          <w:szCs w:val="30"/>
          <w14:textFill>
            <w14:solidFill>
              <w14:schemeClr w14:val="tx1"/>
            </w14:solidFill>
          </w14:textFill>
        </w:rPr>
        <w:t>存在的问题及原因分析</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pPr>
      <w:r>
        <w:rPr>
          <w:rFonts w:hint="eastAsia" w:ascii="方正仿宋_GB2312" w:hAnsi="方正仿宋_GB2312" w:eastAsia="方正仿宋_GB2312" w:cs="方正仿宋_GB2312"/>
          <w:b w:val="0"/>
          <w:bCs w:val="0"/>
          <w:color w:val="000000" w:themeColor="text1"/>
          <w:kern w:val="2"/>
          <w:sz w:val="30"/>
          <w:szCs w:val="30"/>
          <w14:textFill>
            <w14:solidFill>
              <w14:schemeClr w14:val="tx1"/>
            </w14:solidFill>
          </w14:textFill>
        </w:rPr>
        <w:t>对于预算绩效管理工作认识不足，欠缺有效的经验和合理的方法。</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特别是自治区药品、医疗器械和化妆品抽检工作，由我局统筹安排、分配任务，大部分资金拨付</w:t>
      </w:r>
      <w:r>
        <w:rPr>
          <w:rFonts w:hint="eastAsia" w:ascii="方正仿宋_GB2312" w:hAnsi="方正仿宋_GB2312" w:eastAsia="方正仿宋_GB2312" w:cs="方正仿宋_GB2312"/>
          <w:b w:val="0"/>
          <w:bCs w:val="0"/>
          <w:color w:val="000000" w:themeColor="text1"/>
          <w:kern w:val="2"/>
          <w:sz w:val="30"/>
          <w:szCs w:val="30"/>
          <w:lang w:val="en-US" w:eastAsia="zh-CN"/>
          <w14:textFill>
            <w14:solidFill>
              <w14:schemeClr w14:val="tx1"/>
            </w14:solidFill>
          </w14:textFill>
        </w:rPr>
        <w:t>14个地（州、市）市场监管局具体组织、县（市、区）市场监管局配合落实。基层市场监管部门在</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项目实施过程中，</w:t>
      </w:r>
      <w:r>
        <w:rPr>
          <w:rFonts w:hint="eastAsia" w:ascii="方正仿宋_GB2312" w:hAnsi="方正仿宋_GB2312" w:eastAsia="方正仿宋_GB2312" w:cs="方正仿宋_GB2312"/>
          <w:b w:val="0"/>
          <w:bCs w:val="0"/>
          <w:color w:val="000000" w:themeColor="text1"/>
          <w:kern w:val="2"/>
          <w:sz w:val="30"/>
          <w:szCs w:val="30"/>
          <w:lang w:val="en-US" w:eastAsia="zh-CN"/>
          <w14:textFill>
            <w14:solidFill>
              <w14:schemeClr w14:val="tx1"/>
            </w14:solidFill>
          </w14:textFill>
        </w:rPr>
        <w:t>绩效监控意识</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淡薄，缺乏主动性，未意识到绩效</w:t>
      </w:r>
      <w:r>
        <w:rPr>
          <w:rFonts w:hint="eastAsia" w:ascii="方正仿宋_GB2312" w:hAnsi="方正仿宋_GB2312" w:eastAsia="方正仿宋_GB2312" w:cs="方正仿宋_GB2312"/>
          <w:b w:val="0"/>
          <w:bCs w:val="0"/>
          <w:color w:val="000000" w:themeColor="text1"/>
          <w:kern w:val="2"/>
          <w:sz w:val="30"/>
          <w:szCs w:val="30"/>
          <w:lang w:val="en-US" w:eastAsia="zh-CN"/>
          <w14:textFill>
            <w14:solidFill>
              <w14:schemeClr w14:val="tx1"/>
            </w14:solidFill>
          </w14:textFill>
        </w:rPr>
        <w:t>监控</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是加强工作规范管理、提高资金使用效益的重要手段。这些问题，亟需</w:t>
      </w:r>
      <w:r>
        <w:rPr>
          <w:rFonts w:hint="eastAsia" w:ascii="方正仿宋_GB2312" w:hAnsi="方正仿宋_GB2312" w:eastAsia="方正仿宋_GB2312" w:cs="方正仿宋_GB2312"/>
          <w:b w:val="0"/>
          <w:bCs w:val="0"/>
          <w:color w:val="000000" w:themeColor="text1"/>
          <w:kern w:val="2"/>
          <w:sz w:val="30"/>
          <w:szCs w:val="30"/>
          <w14:textFill>
            <w14:solidFill>
              <w14:schemeClr w14:val="tx1"/>
            </w14:solidFill>
          </w14:textFill>
        </w:rPr>
        <w:t>在全系统进一步强化预算绩效管理工作重要性，总结经验查找问题，研究制定更全面更完善的绩效评价管理办法</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，督促指导各地、县市场监管部门高质量落实抽检目标任务，提高抽检问题药品靶向率，打击假劣的水平和能力</w:t>
      </w:r>
      <w:r>
        <w:rPr>
          <w:rFonts w:hint="eastAsia" w:ascii="方正仿宋_GB2312" w:hAnsi="方正仿宋_GB2312" w:eastAsia="方正仿宋_GB2312" w:cs="方正仿宋_GB2312"/>
          <w:b w:val="0"/>
          <w:bCs w:val="0"/>
          <w:color w:val="000000" w:themeColor="text1"/>
          <w:kern w:val="2"/>
          <w:sz w:val="30"/>
          <w:szCs w:val="30"/>
          <w14:textFill>
            <w14:solidFill>
              <w14:schemeClr w14:val="tx1"/>
            </w14:solidFill>
          </w14:textFill>
        </w:rPr>
        <w:t>。</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同时，</w:t>
      </w:r>
      <w:r>
        <w:rPr>
          <w:rFonts w:hint="eastAsia" w:ascii="方正仿宋_GB2312" w:hAnsi="方正仿宋_GB2312" w:eastAsia="方正仿宋_GB2312" w:cs="方正仿宋_GB2312"/>
          <w:b w:val="0"/>
          <w:bCs w:val="0"/>
          <w:color w:val="000000" w:themeColor="text1"/>
          <w:kern w:val="2"/>
          <w:sz w:val="30"/>
          <w:szCs w:val="30"/>
          <w14:textFill>
            <w14:solidFill>
              <w14:schemeClr w14:val="tx1"/>
            </w14:solidFill>
          </w14:textFill>
        </w:rPr>
        <w:t>加大对全面实施预算绩效管理</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业务</w:t>
      </w:r>
      <w:r>
        <w:rPr>
          <w:rFonts w:hint="eastAsia" w:ascii="方正仿宋_GB2312" w:hAnsi="方正仿宋_GB2312" w:eastAsia="方正仿宋_GB2312" w:cs="方正仿宋_GB2312"/>
          <w:b w:val="0"/>
          <w:bCs w:val="0"/>
          <w:color w:val="000000" w:themeColor="text1"/>
          <w:kern w:val="2"/>
          <w:sz w:val="30"/>
          <w:szCs w:val="30"/>
          <w14:textFill>
            <w14:solidFill>
              <w14:schemeClr w14:val="tx1"/>
            </w14:solidFill>
          </w14:textFill>
        </w:rPr>
        <w:t>学习力度，认真落实“花钱必问效，无效必问责”的理念。</w:t>
      </w:r>
      <w:r>
        <w:rPr>
          <w:rFonts w:hint="eastAsia" w:ascii="方正仿宋_GB2312" w:hAnsi="方正仿宋_GB2312" w:eastAsia="方正仿宋_GB2312" w:cs="方正仿宋_GB2312"/>
          <w:b w:val="0"/>
          <w:bCs w:val="0"/>
          <w:color w:val="000000" w:themeColor="text1"/>
          <w:kern w:val="2"/>
          <w:sz w:val="30"/>
          <w:szCs w:val="30"/>
          <w:lang w:eastAsia="zh-CN"/>
          <w14:textFill>
            <w14:solidFill>
              <w14:schemeClr w14:val="tx1"/>
            </w14:solidFill>
          </w14:textFill>
        </w:rPr>
        <w:t>加强全系统干部监管能力培训，提升依法监管素质，发挥药品抽检发现问题、查处制售假劣的作用。</w:t>
      </w:r>
    </w:p>
    <w:p>
      <w:pPr>
        <w:pageBreakBefore w:val="0"/>
        <w:numPr>
          <w:ilvl w:val="0"/>
          <w:numId w:val="5"/>
        </w:numPr>
        <w:kinsoku/>
        <w:wordWrap/>
        <w:overflowPunct/>
        <w:topLinePunct w:val="0"/>
        <w:autoSpaceDE/>
        <w:autoSpaceDN/>
        <w:bidi w:val="0"/>
        <w:adjustRightInd/>
        <w:spacing w:line="560" w:lineRule="exact"/>
        <w:ind w:firstLine="641"/>
        <w:textAlignment w:val="auto"/>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有关建议</w:t>
      </w:r>
    </w:p>
    <w:p>
      <w:pPr>
        <w:keepNext w:val="0"/>
        <w:keepLines w:val="0"/>
        <w:pageBreakBefore w:val="0"/>
        <w:kinsoku/>
        <w:wordWrap/>
        <w:overflowPunct/>
        <w:topLinePunct w:val="0"/>
        <w:autoSpaceDE/>
        <w:autoSpaceDN/>
        <w:bidi w:val="0"/>
        <w:adjustRightInd/>
        <w:snapToGrid/>
        <w:spacing w:line="560" w:lineRule="exact"/>
        <w:ind w:firstLine="602" w:firstLineChars="200"/>
        <w:textAlignment w:val="auto"/>
        <w:rPr>
          <w:rFonts w:hint="eastAsia" w:ascii="方正仿宋_GB2312" w:hAnsi="方正仿宋_GB2312" w:eastAsia="方正仿宋_GB2312" w:cs="方正仿宋_GB2312"/>
          <w:b w:val="0"/>
          <w:bCs w:val="0"/>
          <w:color w:val="000000" w:themeColor="text1"/>
          <w:kern w:val="2"/>
          <w:sz w:val="30"/>
          <w:szCs w:val="30"/>
          <w:lang w:val="en-US" w:eastAsia="zh-CN" w:bidi="ar-SA"/>
          <w14:textFill>
            <w14:solidFill>
              <w14:schemeClr w14:val="tx1"/>
            </w14:solidFill>
          </w14:textFill>
        </w:rPr>
      </w:pPr>
      <w:r>
        <w:rPr>
          <w:rFonts w:hint="eastAsia" w:ascii="方正楷体_GBK" w:hAnsi="方正楷体_GBK" w:eastAsia="方正楷体_GBK" w:cs="方正楷体_GBK"/>
          <w:b/>
          <w:bCs/>
          <w:color w:val="000000" w:themeColor="text1"/>
          <w:kern w:val="2"/>
          <w:sz w:val="30"/>
          <w:szCs w:val="30"/>
          <w:lang w:val="en-US" w:eastAsia="zh-CN" w:bidi="ar-SA"/>
          <w14:textFill>
            <w14:solidFill>
              <w14:schemeClr w14:val="tx1"/>
            </w14:solidFill>
          </w14:textFill>
        </w:rPr>
        <w:t>（一）强化项目单位主体责任。</w:t>
      </w:r>
      <w:r>
        <w:rPr>
          <w:rFonts w:hint="eastAsia" w:ascii="方正仿宋_GB2312" w:hAnsi="方正仿宋_GB2312" w:eastAsia="方正仿宋_GB2312" w:cs="方正仿宋_GB2312"/>
          <w:b w:val="0"/>
          <w:bCs w:val="0"/>
          <w:color w:val="000000" w:themeColor="text1"/>
          <w:kern w:val="2"/>
          <w:sz w:val="30"/>
          <w:szCs w:val="30"/>
          <w:lang w:val="en-US" w:eastAsia="zh-CN" w:bidi="ar-SA"/>
          <w14:textFill>
            <w14:solidFill>
              <w14:schemeClr w14:val="tx1"/>
            </w14:solidFill>
          </w14:textFill>
        </w:rPr>
        <w:t>建议各级财政部门通过会议、文件和培训等形式，督促、提高各级领导干部的全面实施预算绩效管理意识，认真落实执行主体责任，切实推动“谁干事谁花钱、谁花钱谁担责”的理念深入到工作每个环节，提高项目资金使用绩效重要性和开展绩效管理工作自觉性的认识。</w:t>
      </w:r>
    </w:p>
    <w:p>
      <w:pPr>
        <w:pageBreakBefore w:val="0"/>
        <w:numPr>
          <w:ilvl w:val="0"/>
          <w:numId w:val="0"/>
        </w:numPr>
        <w:kinsoku/>
        <w:wordWrap/>
        <w:overflowPunct/>
        <w:topLinePunct w:val="0"/>
        <w:autoSpaceDE/>
        <w:autoSpaceDN/>
        <w:bidi w:val="0"/>
        <w:adjustRightInd/>
        <w:spacing w:line="560" w:lineRule="exact"/>
        <w:ind w:firstLine="602" w:firstLineChars="20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楷体_GBK" w:hAnsi="方正楷体_GBK" w:eastAsia="方正楷体_GBK" w:cs="方正楷体_GBK"/>
          <w:b/>
          <w:bCs/>
          <w:color w:val="000000" w:themeColor="text1"/>
          <w:kern w:val="2"/>
          <w:sz w:val="30"/>
          <w:szCs w:val="30"/>
          <w:lang w:val="en-US" w:eastAsia="zh-CN" w:bidi="ar-SA"/>
          <w14:textFill>
            <w14:solidFill>
              <w14:schemeClr w14:val="tx1"/>
            </w14:solidFill>
          </w14:textFill>
        </w:rPr>
        <w:t>（二）加强绩效运行监控管理。</w:t>
      </w:r>
      <w:r>
        <w:rPr>
          <w:rFonts w:hint="eastAsia" w:ascii="方正仿宋_GB2312" w:hAnsi="方正仿宋_GB2312" w:eastAsia="方正仿宋_GB2312" w:cs="方正仿宋_GB2312"/>
          <w:b w:val="0"/>
          <w:bCs w:val="0"/>
          <w:color w:val="000000" w:themeColor="text1"/>
          <w:kern w:val="2"/>
          <w:sz w:val="30"/>
          <w:szCs w:val="30"/>
          <w:lang w:val="en-US" w:eastAsia="zh-CN" w:bidi="ar-SA"/>
          <w14:textFill>
            <w14:solidFill>
              <w14:schemeClr w14:val="tx1"/>
            </w14:solidFill>
          </w14:textFill>
        </w:rPr>
        <w:t>建议各级财政加强对绩效目标实现程度和预算执行情况开展绩效运行监控，及时发现并纠正项目运行存在的问题，加快推进项目建设实施进度，确保预算绩效管理各环节责任到位、执行到位，项目绩效目标任务顺利完成。</w:t>
      </w:r>
    </w:p>
    <w:p>
      <w:pPr>
        <w:pageBreakBefore w:val="0"/>
        <w:kinsoku/>
        <w:wordWrap/>
        <w:overflowPunct/>
        <w:topLinePunct w:val="0"/>
        <w:autoSpaceDE/>
        <w:autoSpaceDN/>
        <w:bidi w:val="0"/>
        <w:adjustRightInd/>
        <w:spacing w:line="560" w:lineRule="exact"/>
        <w:ind w:firstLine="600" w:firstLineChars="200"/>
        <w:textAlignment w:val="auto"/>
        <w:rPr>
          <w:rFonts w:hint="eastAsia"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lang w:eastAsia="zh-CN"/>
          <w14:textFill>
            <w14:solidFill>
              <w14:schemeClr w14:val="tx1"/>
            </w14:solidFill>
          </w14:textFill>
        </w:rPr>
        <w:t>七</w:t>
      </w:r>
      <w:r>
        <w:rPr>
          <w:rFonts w:hint="eastAsia" w:ascii="黑体" w:hAnsi="黑体" w:eastAsia="黑体" w:cs="黑体"/>
          <w:color w:val="000000" w:themeColor="text1"/>
          <w:sz w:val="30"/>
          <w:szCs w:val="30"/>
          <w:lang w:eastAsia="zh-Hans"/>
          <w14:textFill>
            <w14:solidFill>
              <w14:schemeClr w14:val="tx1"/>
            </w14:solidFill>
          </w14:textFill>
        </w:rPr>
        <w:t>、</w:t>
      </w:r>
      <w:r>
        <w:rPr>
          <w:rFonts w:hint="eastAsia" w:ascii="黑体" w:hAnsi="黑体" w:eastAsia="黑体" w:cs="黑体"/>
          <w:color w:val="000000" w:themeColor="text1"/>
          <w:sz w:val="30"/>
          <w:szCs w:val="30"/>
          <w14:textFill>
            <w14:solidFill>
              <w14:schemeClr w14:val="tx1"/>
            </w14:solidFill>
          </w14:textFill>
        </w:rPr>
        <w:t>其他需要说</w:t>
      </w:r>
      <w:bookmarkStart w:id="6" w:name="page8"/>
      <w:bookmarkEnd w:id="6"/>
      <w:r>
        <w:rPr>
          <w:rFonts w:hint="eastAsia" w:ascii="黑体" w:hAnsi="黑体" w:eastAsia="黑体" w:cs="黑体"/>
          <w:color w:val="000000" w:themeColor="text1"/>
          <w:sz w:val="30"/>
          <w:szCs w:val="30"/>
          <w14:textFill>
            <w14:solidFill>
              <w14:schemeClr w14:val="tx1"/>
            </w14:solidFill>
          </w14:textFill>
        </w:rPr>
        <w:t>明的问题</w:t>
      </w:r>
    </w:p>
    <w:p>
      <w:pPr>
        <w:pStyle w:val="21"/>
        <w:pageBreakBefore w:val="0"/>
        <w:kinsoku/>
        <w:wordWrap/>
        <w:overflowPunct/>
        <w:topLinePunct w:val="0"/>
        <w:autoSpaceDE/>
        <w:autoSpaceDN/>
        <w:bidi w:val="0"/>
        <w:adjustRightInd/>
        <w:spacing w:after="0" w:line="560" w:lineRule="exact"/>
        <w:ind w:left="0" w:leftChars="0" w:firstLine="640"/>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r>
        <w:rPr>
          <w:rFonts w:hint="eastAsia" w:ascii="方正仿宋_GB2312" w:hAnsi="方正仿宋_GB2312" w:eastAsia="方正仿宋_GB2312" w:cs="方正仿宋_GB2312"/>
          <w:color w:val="000000" w:themeColor="text1"/>
          <w:sz w:val="30"/>
          <w:szCs w:val="30"/>
          <w:lang w:eastAsia="zh-CN"/>
          <w14:textFill>
            <w14:solidFill>
              <w14:schemeClr w14:val="tx1"/>
            </w14:solidFill>
          </w14:textFill>
        </w:rPr>
        <w:t>本项目无其他需说明的问题。</w:t>
      </w:r>
    </w:p>
    <w:p>
      <w:pPr>
        <w:pageBreakBefore w:val="0"/>
        <w:kinsoku/>
        <w:wordWrap/>
        <w:overflowPunct/>
        <w:topLinePunct w:val="0"/>
        <w:autoSpaceDE/>
        <w:autoSpaceDN/>
        <w:bidi w:val="0"/>
        <w:adjustRightInd/>
        <w:spacing w:line="560" w:lineRule="exact"/>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pPr>
    </w:p>
    <w:p>
      <w:pPr>
        <w:pStyle w:val="2"/>
        <w:pageBreakBefore w:val="0"/>
        <w:kinsoku/>
        <w:wordWrap/>
        <w:overflowPunct/>
        <w:topLinePunct w:val="0"/>
        <w:autoSpaceDE/>
        <w:autoSpaceDN/>
        <w:bidi w:val="0"/>
        <w:adjustRightInd/>
        <w:spacing w:line="560" w:lineRule="exact"/>
        <w:jc w:val="both"/>
        <w:textAlignment w:val="auto"/>
        <w:rPr>
          <w:rFonts w:hint="eastAsia" w:ascii="方正仿宋_GB2312" w:hAnsi="方正仿宋_GB2312" w:eastAsia="方正仿宋_GB2312" w:cs="方正仿宋_GB2312"/>
          <w:color w:val="000000" w:themeColor="text1"/>
          <w:sz w:val="30"/>
          <w:szCs w:val="30"/>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pPr>
        <w:pageBreakBefore w:val="0"/>
        <w:kinsoku/>
        <w:wordWrap/>
        <w:overflowPunct/>
        <w:topLinePunct w:val="0"/>
        <w:autoSpaceDE/>
        <w:autoSpaceDN/>
        <w:bidi w:val="0"/>
        <w:adjustRightInd/>
        <w:spacing w:line="560" w:lineRule="exact"/>
        <w:textAlignment w:val="auto"/>
        <w:rPr>
          <w:rFonts w:ascii="仿宋_GB2312"/>
          <w:bCs/>
          <w:color w:val="000000" w:themeColor="text1"/>
          <w:sz w:val="32"/>
          <w:szCs w:val="32"/>
          <w14:textFill>
            <w14:solidFill>
              <w14:schemeClr w14:val="tx1"/>
            </w14:solidFill>
          </w14:textFill>
        </w:rPr>
      </w:pPr>
      <w:r>
        <w:rPr>
          <w:rFonts w:hint="eastAsia" w:ascii="仿宋_GB2312"/>
          <w:bCs/>
          <w:color w:val="000000" w:themeColor="text1"/>
          <w:sz w:val="32"/>
          <w:szCs w:val="32"/>
          <w14:textFill>
            <w14:solidFill>
              <w14:schemeClr w14:val="tx1"/>
            </w14:solidFill>
          </w14:textFill>
        </w:rPr>
        <w:t>附件1</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一级指标</w:t>
            </w:r>
          </w:p>
        </w:tc>
        <w:tc>
          <w:tcPr>
            <w:tcW w:w="302"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二级指标</w:t>
            </w:r>
          </w:p>
        </w:tc>
        <w:tc>
          <w:tcPr>
            <w:tcW w:w="344"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三级指标</w:t>
            </w:r>
          </w:p>
        </w:tc>
        <w:tc>
          <w:tcPr>
            <w:tcW w:w="927"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指标解释</w:t>
            </w:r>
          </w:p>
        </w:tc>
        <w:tc>
          <w:tcPr>
            <w:tcW w:w="2044"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指标说明</w:t>
            </w:r>
          </w:p>
        </w:tc>
        <w:tc>
          <w:tcPr>
            <w:tcW w:w="512"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权重</w:t>
            </w:r>
          </w:p>
        </w:tc>
        <w:tc>
          <w:tcPr>
            <w:tcW w:w="537" w:type="pct"/>
            <w:shd w:val="clear" w:color="auto" w:fill="FFFFFF"/>
            <w:vAlign w:val="center"/>
          </w:tcPr>
          <w:p>
            <w:pPr>
              <w:pageBreakBefore w:val="0"/>
              <w:widowControl/>
              <w:kinsoku/>
              <w:wordWrap/>
              <w:overflowPunct/>
              <w:topLinePunct w:val="0"/>
              <w:autoSpaceDE/>
              <w:autoSpaceDN/>
              <w:bidi w:val="0"/>
              <w:adjustRightInd/>
              <w:spacing w:line="560" w:lineRule="exact"/>
              <w:jc w:val="center"/>
              <w:textAlignment w:val="auto"/>
              <w:rPr>
                <w:rFonts w:ascii="宋体" w:hAnsi="宋体" w:cs="宋体"/>
                <w:b/>
                <w:bCs/>
                <w:color w:val="000000" w:themeColor="text1"/>
                <w:kern w:val="0"/>
                <w:sz w:val="21"/>
                <w:szCs w:val="21"/>
                <w14:textFill>
                  <w14:solidFill>
                    <w14:schemeClr w14:val="tx1"/>
                  </w14:solidFill>
                </w14:textFill>
              </w:rPr>
            </w:pPr>
            <w:r>
              <w:rPr>
                <w:rFonts w:hint="eastAsia" w:ascii="宋体" w:hAnsi="宋体" w:cs="宋体"/>
                <w:b/>
                <w:bCs/>
                <w:color w:val="000000" w:themeColor="text1"/>
                <w:kern w:val="0"/>
                <w:sz w:val="21"/>
                <w:szCs w:val="21"/>
                <w14:textFill>
                  <w14:solidFill>
                    <w14:schemeClr w14:val="tx1"/>
                  </w14:solidFill>
                </w14:textFill>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决策　</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w:t>
            </w:r>
          </w:p>
        </w:tc>
        <w:tc>
          <w:tcPr>
            <w:tcW w:w="30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项目立项　</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立项依据</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充分性</w:t>
            </w:r>
          </w:p>
        </w:tc>
        <w:tc>
          <w:tcPr>
            <w:tcW w:w="927"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项目立项是否符合法律法规、相关政策、发展规划以及部门职责，用以反映和考核项目立项依据情况。</w:t>
            </w:r>
          </w:p>
        </w:tc>
        <w:tc>
          <w:tcPr>
            <w:tcW w:w="2044"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①项目立项是否符合国家法律法规、国民经济发展规划和相关政策；</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②项目立项是否符合行业发展规划和政策要求；</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③项目立项是否与部门职责范围相符，属于部门履职所需；</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④项目是否属于公共财政支持范围，是否符合中央、地方事权支出责任划分原则；</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⑤项目是否与相关部门同类项目或部门内部相关项目重复。</w:t>
            </w:r>
          </w:p>
        </w:tc>
        <w:tc>
          <w:tcPr>
            <w:tcW w:w="51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0.5</w:t>
            </w:r>
          </w:p>
        </w:tc>
        <w:tc>
          <w:tcPr>
            <w:tcW w:w="537"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立项程序</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规范性</w:t>
            </w:r>
          </w:p>
        </w:tc>
        <w:tc>
          <w:tcPr>
            <w:tcW w:w="927"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项目申请、设立过程是否符合相关要求，用以反映和考核项目立项的规范情况。</w:t>
            </w:r>
          </w:p>
        </w:tc>
        <w:tc>
          <w:tcPr>
            <w:tcW w:w="2044"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①项目是否按照规定的程序申请设立；</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②审批文件、材料是否符合相关要求；</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③事前是否已经过必要的可行性研究、专家论证、风险评估、绩效评估、集体决策。</w:t>
            </w:r>
          </w:p>
        </w:tc>
        <w:tc>
          <w:tcPr>
            <w:tcW w:w="51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0.5</w:t>
            </w:r>
          </w:p>
        </w:tc>
        <w:tc>
          <w:tcPr>
            <w:tcW w:w="537"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绩效目标　</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绩效目标</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合理性</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项目所设定的绩效目标是否依据充分，是否符合客观实际，用以反映和考核项目绩效目标与项目实施的相符情况。</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（如未设定预算绩效目标，也可考核其他工作任务目标）</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①项目是否有绩效目标；</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②项目绩效目标与实际工作内容是否具有相关性；</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③项目预期产出效益和效果是否符合正常的业绩水平；</w:t>
            </w:r>
          </w:p>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④是否与预算确定的项目投资额或资金量相匹配。</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决策　</w:t>
            </w: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绩效目标</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绩效指标</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明确性</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依据绩效目标设定的绩效指标是否清晰、细化、可衡量等，用以反映和考核项目绩效目标的明细化情况。</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①是否将项目绩效目标细化分解为具体的绩效指标；</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②是否通过清晰、可衡量的指标值予以体现；</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③是否与项目目标任务数或计划数相对应。</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资金投入</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预算编制</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科学性</w:t>
            </w:r>
          </w:p>
        </w:tc>
        <w:tc>
          <w:tcPr>
            <w:tcW w:w="927"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①预算编制是否经过科学论证；</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②预算内容与项目内容是否匹配；</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③预算额度测算依据是否充分，是否按照标准编制；</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④预算确定的项目投资额或资金量是否与工作任务相匹配。</w:t>
            </w:r>
          </w:p>
        </w:tc>
        <w:tc>
          <w:tcPr>
            <w:tcW w:w="51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资金分配</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合理性</w:t>
            </w:r>
          </w:p>
        </w:tc>
        <w:tc>
          <w:tcPr>
            <w:tcW w:w="927"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①预算资金分配依据是否充分；</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②资金分配额度是否合理，与项目单位或地方实际是否相适应。</w:t>
            </w:r>
          </w:p>
        </w:tc>
        <w:tc>
          <w:tcPr>
            <w:tcW w:w="51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过程</w:t>
            </w:r>
          </w:p>
        </w:tc>
        <w:tc>
          <w:tcPr>
            <w:tcW w:w="30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资金管理</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资金到位率</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实际到位资金与预算资金的比率，用以反映和考核资金落实情况对项目实施的总体保障程度。</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资金到位率=（实际到位资金/预算资金）×100%。</w:t>
            </w:r>
          </w:p>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实际到位资金：一定时期（本年度或项目期）内落实到具体项目的资金。</w:t>
            </w:r>
          </w:p>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预算资金：一定时期（本年度或项目期）内预算安排到具体项目的资金。</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预算执行率</w:t>
            </w:r>
          </w:p>
        </w:tc>
        <w:tc>
          <w:tcPr>
            <w:tcW w:w="927"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项目预算资金是否按照计划执行，用以反映或考核项目预算执行情况。</w:t>
            </w:r>
          </w:p>
        </w:tc>
        <w:tc>
          <w:tcPr>
            <w:tcW w:w="2044"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预算执行率=（实际支出资金/实际到位资金）×100%。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实际支出资金：一定时期（本年度或项目期）内项目实际拨付的资金。</w:t>
            </w:r>
          </w:p>
        </w:tc>
        <w:tc>
          <w:tcPr>
            <w:tcW w:w="51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过程　</w:t>
            </w: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资金管理</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资金使用合规性</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项目资金使用是否符合相关的财务管理制度规定，用以反映和考核项目资金的规范运行情况。</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①是否符合国家财经法规和财务管理制度以及有关专项资金管理办法的规定；</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②资金的拨付是否有完整的审批程序和手续；</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③是否符合项目预算批复或合同规定的用途；</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④是否存在截留、挤占、挪用、虚列支出等情况。</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组织实施</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管理制度健全性</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项目实施单位的财务和业务管理制度是否健全，用以反映和考核财务和业务管理制度对项目顺利实施的保障情况。</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①是否已制定或具有相应的财务和业务管理制度；</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②财务和业务管理制度是否合法、合规、完整。</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制度执行有效性</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项目实施是否符合相关管理规定，用以反映和考核相关管理制度的有效执行情况。</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评价要点：</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①是否遵守相关法律法规和相关管理规定；</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②项目调整及支出调整手续是否完备；</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③项目合同书、验收报告、技术鉴定等资料是否齐全并及时归档；</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④项目实施的人员条件、场地设备、信息支撑等是否落实到位。</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w:t>
            </w: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产出数量</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项目实施的实际产出数与计划产出数的比率，用以反映和考核项目产出数量目标的实现程度。</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实际完成率=（实际产出数/计划产出数）×100%。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实际产出数：一定时期（本年度或项目期）内项目实际产出的产品或提供的服务数量。</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计划产出数：项目绩效目标确定的在一定时期（本年度或项目期）内计划产出的产品或提供的服务数量。</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537"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w:t>
            </w: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产出质量</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质量达标率</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项目完成的质量达标产出数与实际产出数的比率，用以反映和考核项目产出质量目标的实现程度。</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质量达标率=（质量达标产出数/实际产出数）×100%。</w:t>
            </w:r>
          </w:p>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537"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产出时效</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完成及时性</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项目实际完成时间与计划完成时间的比较，用以反映和考核项目产出时效目标的实现程度。</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实际完成时间：项目实施单位完成该项目实际所耗用的时间。</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计划完成时间：按照项目实施计划或相关规定完成该项目所需的时间。</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c>
          <w:tcPr>
            <w:tcW w:w="537"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产出成本</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成本节约率</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完成项目计划工作目标的实际节约成本与计划成本的比率，用以反映和考核项目的成本节约程度。</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成本节约率=[（计划成本-实际成本）/计划成本]×100%。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实际成本：项目实施单位如期、保质、保量完成既定工作目标实际所耗费的支出。</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计划成本：项目实施单位为完成工作目标计划安排的支出，一般以项目预算为参考。</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537"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效益　</w:t>
            </w:r>
          </w:p>
        </w:tc>
        <w:tc>
          <w:tcPr>
            <w:tcW w:w="30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项目效益　</w:t>
            </w: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实施效益</w:t>
            </w:r>
          </w:p>
        </w:tc>
        <w:tc>
          <w:tcPr>
            <w:tcW w:w="927"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项目实施所产生的效益。</w:t>
            </w:r>
          </w:p>
        </w:tc>
        <w:tc>
          <w:tcPr>
            <w:tcW w:w="2044" w:type="pct"/>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项目实施所产生的社会效益、经济效益、生态效益、可持续影响等。可根据项目实际情况有选择地设置和细化。</w:t>
            </w:r>
          </w:p>
        </w:tc>
        <w:tc>
          <w:tcPr>
            <w:tcW w:w="51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30</w:t>
            </w:r>
          </w:p>
        </w:tc>
        <w:tc>
          <w:tcPr>
            <w:tcW w:w="537"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02" w:type="pct"/>
            <w:vMerge w:val="continue"/>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p>
        </w:tc>
        <w:tc>
          <w:tcPr>
            <w:tcW w:w="34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满意度</w:t>
            </w:r>
          </w:p>
        </w:tc>
        <w:tc>
          <w:tcPr>
            <w:tcW w:w="927"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社会公众或服务对象对项目实施效果的满意程度。</w:t>
            </w:r>
          </w:p>
        </w:tc>
        <w:tc>
          <w:tcPr>
            <w:tcW w:w="2044" w:type="pct"/>
            <w:shd w:val="clear" w:color="000000" w:fill="FFFFFF"/>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社会公众或服务对象是指因该项目实施而受到影响的部门（单位）、群体或个人。一般采取社会调查的方式。</w:t>
            </w:r>
          </w:p>
        </w:tc>
        <w:tc>
          <w:tcPr>
            <w:tcW w:w="512"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537"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r>
    </w:tbl>
    <w:p>
      <w:pPr>
        <w:pStyle w:val="2"/>
        <w:pageBreakBefore w:val="0"/>
        <w:kinsoku/>
        <w:wordWrap/>
        <w:overflowPunct/>
        <w:topLinePunct w:val="0"/>
        <w:autoSpaceDE/>
        <w:autoSpaceDN/>
        <w:bidi w:val="0"/>
        <w:adjustRightInd/>
        <w:spacing w:line="560" w:lineRule="exact"/>
        <w:textAlignment w:val="auto"/>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13"/>
        <w:spacing w:after="0"/>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tbl>
      <w:tblPr>
        <w:tblStyle w:val="22"/>
        <w:tblW w:w="139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3"/>
        <w:gridCol w:w="973"/>
        <w:gridCol w:w="1332"/>
        <w:gridCol w:w="2050"/>
        <w:gridCol w:w="1049"/>
        <w:gridCol w:w="958"/>
        <w:gridCol w:w="614"/>
        <w:gridCol w:w="615"/>
        <w:gridCol w:w="973"/>
        <w:gridCol w:w="794"/>
        <w:gridCol w:w="959"/>
        <w:gridCol w:w="639"/>
        <w:gridCol w:w="794"/>
        <w:gridCol w:w="1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3969"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华文中宋" w:hAnsi="华文中宋" w:eastAsia="华文中宋" w:cs="华文中宋"/>
                <w:b/>
                <w:bCs/>
                <w:i w:val="0"/>
                <w:iCs w:val="0"/>
                <w:color w:val="000000" w:themeColor="text1"/>
                <w:sz w:val="40"/>
                <w:szCs w:val="40"/>
                <w:u w:val="none"/>
                <w14:textFill>
                  <w14:solidFill>
                    <w14:schemeClr w14:val="tx1"/>
                  </w14:solidFill>
                </w14:textFill>
              </w:rPr>
            </w:pPr>
            <w:r>
              <w:rPr>
                <w:rFonts w:hint="default" w:ascii="华文中宋" w:hAnsi="华文中宋" w:eastAsia="华文中宋" w:cs="华文中宋"/>
                <w:b/>
                <w:bCs/>
                <w:i w:val="0"/>
                <w:iCs w:val="0"/>
                <w:color w:val="000000" w:themeColor="text1"/>
                <w:kern w:val="0"/>
                <w:sz w:val="40"/>
                <w:szCs w:val="40"/>
                <w:u w:val="none"/>
                <w:lang w:val="en-US" w:eastAsia="zh-CN" w:bidi="ar"/>
                <w14:textFill>
                  <w14:solidFill>
                    <w14:schemeClr w14:val="tx1"/>
                  </w14:solidFill>
                </w14:textFill>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3969"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  2023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项目名称</w:t>
            </w:r>
          </w:p>
        </w:tc>
        <w:tc>
          <w:tcPr>
            <w:tcW w:w="1201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2023年度自治区药品抽检项目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主管部门</w:t>
            </w:r>
          </w:p>
        </w:tc>
        <w:tc>
          <w:tcPr>
            <w:tcW w:w="60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自治区财政厅</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实施单位</w:t>
            </w:r>
          </w:p>
        </w:tc>
        <w:tc>
          <w:tcPr>
            <w:tcW w:w="44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自治区药品监督管理局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（万元）</w:t>
            </w:r>
          </w:p>
        </w:tc>
        <w:tc>
          <w:tcPr>
            <w:tcW w:w="3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资金来源</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年初预算数</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全年预算数</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全年执行数</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分值权重</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执行率</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3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年度资金总额</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1716.56</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1716.56</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3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其中：当年财政拨款</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1716.56 </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1716.56</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339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其他资金</w:t>
            </w:r>
          </w:p>
        </w:tc>
        <w:tc>
          <w:tcPr>
            <w:tcW w:w="105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575"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w:t>
            </w:r>
          </w:p>
        </w:tc>
        <w:tc>
          <w:tcPr>
            <w:tcW w:w="159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年度总体目标</w:t>
            </w:r>
          </w:p>
        </w:tc>
        <w:tc>
          <w:tcPr>
            <w:tcW w:w="85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总体目标</w:t>
            </w:r>
          </w:p>
        </w:tc>
        <w:tc>
          <w:tcPr>
            <w:tcW w:w="44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858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紧紧围绕社会稳定和长治久安总目标，认真贯彻全国药品监督管理工作会议部署和自治区药监局2023年药品监管重点工作安排，以提高药品（含医疗器械、化妆品，下同）安全水平为核心，坚持问题导向、重点突出、监检结合和三级联动原则，进一步做好省级药品（医疗机构制剂）、中药饮片、医疗器械和化妆品抽检和药品评价性抽检工作，统一调度抽检任务，统一规范程序标准，统一数据分析利用，完成药品生产、流通环节（含医院制剂）抽检1080批次，中药饮片生产流通环节抽检820批次，医疗器械监督抽样300批次，化妆品监督抽样250批次，药品评价性抽样检验1008批次，开展血液制品签发同步模拟运转实验15批次，对进口药材、化妆品风险监测、注册检验等检验335批次，有效发挥抽检工作的风险防控和技术支撑作用，委托开展药品医疗器械和化妆品生产流通监管服务，努力提高监管能力和监管水平，以“四个最严”的要求保障药品安全，坚决守住全区不发生重大药品安全事故底线。</w:t>
            </w:r>
          </w:p>
        </w:tc>
        <w:tc>
          <w:tcPr>
            <w:tcW w:w="44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 加强省级药品（医疗机构制剂）、中药饮片、医疗器械和化妆品抽检和药品评价性抽检工作，圆满完成了年度预算安排任务。其中：完成药品生产、流通环节（含医院制剂）抽检1080批次，中药饮片生产流通环节抽检820批次，医疗器械监督抽样300批次，化妆品监督抽样250批次，药品评价性抽样检验1008批次，开展血液制品签发同步模拟运转实验15批次，对进口药材、化妆品风险监测、注册检验等检验335批次，有效发挥了抽检工作的风险防控和技术支撑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一级指标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二级指标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三级指标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指标值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指标值设</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置依据</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上年完</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成值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指标分</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值权重</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指标赋</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分规则</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佐证资料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指标实际</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完成值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完成率</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指标得分</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年度绩效指标完成情况</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产出指标</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数量指标</w:t>
            </w: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药品生产流通环节（含医院制剂）抽检批次</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≥1080批次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1080批次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中药饮片生产流通环节抽检批次</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≥820批次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820批次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医疗器械监督抽样任务</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≥300批次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300批次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化妆品监督抽样任务</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≥250批次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250批次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药品评价性抽样检验批次</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≥1008批次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1008批次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委托政府购买服务</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≥8家（次）</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计划标准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8家（次）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血液制品签发同步模拟运转实验</w:t>
            </w:r>
          </w:p>
        </w:tc>
        <w:tc>
          <w:tcPr>
            <w:tcW w:w="105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≥15批次</w:t>
            </w:r>
          </w:p>
        </w:tc>
        <w:tc>
          <w:tcPr>
            <w:tcW w:w="96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历史标准</w:t>
            </w:r>
          </w:p>
        </w:tc>
        <w:tc>
          <w:tcPr>
            <w:tcW w:w="615"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标准符合、注册检验、化妆品风险监测和进口药材检验</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≥335批次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历史标准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335批次</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质量指标</w:t>
            </w: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“两品一械”检验准确率</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≥95%</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历史标准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themeColor="text1"/>
                <w:sz w:val="18"/>
                <w:szCs w:val="18"/>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时效指标</w:t>
            </w: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抽样检验任务按期完成率</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≥95%</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历史标准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3</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直接赋分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95%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成本指标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经济成本指标</w:t>
            </w: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药品抽样检验（含评价性抽检）、委托服务经费</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≤1716.56万元</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预算支出标准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按照完成</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比例赋分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原始凭证</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社会成本指标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生态环境成本指标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效益指标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经济效益指标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社会效益指标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提升“两品一械”监管服务水平</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有效提升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行业标准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按评判</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等级赋分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有效提升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205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减少假冒伪劣“两品一械”制售行为</w:t>
            </w:r>
          </w:p>
        </w:tc>
        <w:tc>
          <w:tcPr>
            <w:tcW w:w="105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有效减少</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历史标准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按评判</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等级赋分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有效减少</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生态效益指标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满意度指标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满意度指标</w:t>
            </w:r>
          </w:p>
        </w:tc>
        <w:tc>
          <w:tcPr>
            <w:tcW w:w="2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公众对药品安全的满意度</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85%</w:t>
            </w:r>
          </w:p>
        </w:tc>
        <w:tc>
          <w:tcPr>
            <w:tcW w:w="96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历史标准</w:t>
            </w:r>
          </w:p>
        </w:tc>
        <w:tc>
          <w:tcPr>
            <w:tcW w:w="61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97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满意度赋分</w:t>
            </w:r>
          </w:p>
        </w:tc>
        <w:tc>
          <w:tcPr>
            <w:tcW w:w="7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工作资料</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86%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34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总分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8"/>
                <w:szCs w:val="18"/>
                <w:u w:val="none"/>
                <w14:textFill>
                  <w14:solidFill>
                    <w14:schemeClr w14:val="tx1"/>
                  </w14:solidFill>
                </w14:textFill>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8"/>
                <w:szCs w:val="18"/>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8"/>
                <w:szCs w:val="18"/>
                <w:u w:val="none"/>
                <w14:textFill>
                  <w14:solidFill>
                    <w14:schemeClr w14:val="tx1"/>
                  </w14:solidFill>
                </w14:textFill>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themeColor="text1"/>
                <w:sz w:val="18"/>
                <w:szCs w:val="18"/>
                <w:u w:val="none"/>
                <w14:textFill>
                  <w14:solidFill>
                    <w14:schemeClr w14:val="tx1"/>
                  </w14:solidFill>
                </w14:textFill>
              </w:rPr>
            </w:pPr>
          </w:p>
        </w:tc>
      </w:tr>
    </w:tbl>
    <w:p>
      <w:pPr>
        <w:pStyle w:val="13"/>
        <w:rPr>
          <w:color w:val="000000" w:themeColor="text1"/>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4</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3EB37F"/>
    <w:multiLevelType w:val="singleLevel"/>
    <w:tmpl w:val="8C3EB37F"/>
    <w:lvl w:ilvl="0" w:tentative="0">
      <w:start w:val="2"/>
      <w:numFmt w:val="decimal"/>
      <w:suff w:val="nothing"/>
      <w:lvlText w:val="%1、"/>
      <w:lvlJc w:val="left"/>
    </w:lvl>
  </w:abstractNum>
  <w:abstractNum w:abstractNumId="1">
    <w:nsid w:val="9D3D2FA9"/>
    <w:multiLevelType w:val="singleLevel"/>
    <w:tmpl w:val="9D3D2FA9"/>
    <w:lvl w:ilvl="0" w:tentative="0">
      <w:start w:val="6"/>
      <w:numFmt w:val="chineseCounting"/>
      <w:suff w:val="nothing"/>
      <w:lvlText w:val="%1、"/>
      <w:lvlJc w:val="left"/>
      <w:rPr>
        <w:rFonts w:hint="eastAsia"/>
      </w:rPr>
    </w:lvl>
  </w:abstractNum>
  <w:abstractNum w:abstractNumId="2">
    <w:nsid w:val="AE448A06"/>
    <w:multiLevelType w:val="singleLevel"/>
    <w:tmpl w:val="AE448A06"/>
    <w:lvl w:ilvl="0" w:tentative="0">
      <w:start w:val="1"/>
      <w:numFmt w:val="decimal"/>
      <w:suff w:val="nothing"/>
      <w:lvlText w:val="（%1）"/>
      <w:lvlJc w:val="left"/>
      <w:pPr>
        <w:ind w:left="30"/>
      </w:pPr>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6B2E7C95"/>
    <w:multiLevelType w:val="singleLevel"/>
    <w:tmpl w:val="6B2E7C95"/>
    <w:lvl w:ilvl="0" w:tentative="0">
      <w:start w:val="1"/>
      <w:numFmt w:val="decimal"/>
      <w:suff w:val="nothing"/>
      <w:lvlText w:val="（%1）"/>
      <w:lvlJc w:val="left"/>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NlNDAyYzYzYjE3MjdlN2FjNWM0MjY2ZGU5YmI4MDUifQ=="/>
  </w:docVars>
  <w:rsids>
    <w:rsidRoot w:val="00CA6457"/>
    <w:rsid w:val="00056465"/>
    <w:rsid w:val="000A476A"/>
    <w:rsid w:val="000E50F0"/>
    <w:rsid w:val="000E586C"/>
    <w:rsid w:val="00121AE4"/>
    <w:rsid w:val="00146AAD"/>
    <w:rsid w:val="001B3A40"/>
    <w:rsid w:val="002056B6"/>
    <w:rsid w:val="002504C5"/>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DF7C45"/>
    <w:rsid w:val="00E31565"/>
    <w:rsid w:val="00E46C51"/>
    <w:rsid w:val="00E769FE"/>
    <w:rsid w:val="00EA2CBE"/>
    <w:rsid w:val="00F32FEE"/>
    <w:rsid w:val="00F71278"/>
    <w:rsid w:val="00FB10BB"/>
    <w:rsid w:val="051A56F5"/>
    <w:rsid w:val="05E641EE"/>
    <w:rsid w:val="066D6EAA"/>
    <w:rsid w:val="07580B88"/>
    <w:rsid w:val="087D3C5E"/>
    <w:rsid w:val="08C662D4"/>
    <w:rsid w:val="08DC03AB"/>
    <w:rsid w:val="09BD4D95"/>
    <w:rsid w:val="0BA80E28"/>
    <w:rsid w:val="0F8D41CB"/>
    <w:rsid w:val="11C75270"/>
    <w:rsid w:val="12637CC3"/>
    <w:rsid w:val="12E657C5"/>
    <w:rsid w:val="167C7687"/>
    <w:rsid w:val="168B3546"/>
    <w:rsid w:val="1A2374E0"/>
    <w:rsid w:val="1B881329"/>
    <w:rsid w:val="1B99190D"/>
    <w:rsid w:val="1C317CE2"/>
    <w:rsid w:val="1DD45808"/>
    <w:rsid w:val="1DED42AC"/>
    <w:rsid w:val="1FDB6950"/>
    <w:rsid w:val="20005763"/>
    <w:rsid w:val="20FB313D"/>
    <w:rsid w:val="220B4804"/>
    <w:rsid w:val="23404286"/>
    <w:rsid w:val="252E6050"/>
    <w:rsid w:val="270C3431"/>
    <w:rsid w:val="282475E3"/>
    <w:rsid w:val="289F075D"/>
    <w:rsid w:val="29D82B0E"/>
    <w:rsid w:val="2C6100C1"/>
    <w:rsid w:val="2DCA347B"/>
    <w:rsid w:val="2F182251"/>
    <w:rsid w:val="2F995A0B"/>
    <w:rsid w:val="309155D6"/>
    <w:rsid w:val="30A96193"/>
    <w:rsid w:val="316F2345"/>
    <w:rsid w:val="3264220D"/>
    <w:rsid w:val="3372656B"/>
    <w:rsid w:val="337632CA"/>
    <w:rsid w:val="37CF6D79"/>
    <w:rsid w:val="37EC30AA"/>
    <w:rsid w:val="3963178C"/>
    <w:rsid w:val="3B660234"/>
    <w:rsid w:val="3CC405FB"/>
    <w:rsid w:val="3EBF55D6"/>
    <w:rsid w:val="3FFF363B"/>
    <w:rsid w:val="40A96C5C"/>
    <w:rsid w:val="41CC2676"/>
    <w:rsid w:val="41CF7E42"/>
    <w:rsid w:val="43752A7E"/>
    <w:rsid w:val="46B21672"/>
    <w:rsid w:val="47F888F8"/>
    <w:rsid w:val="490F5A7A"/>
    <w:rsid w:val="4963439B"/>
    <w:rsid w:val="49F338A2"/>
    <w:rsid w:val="4B0F2185"/>
    <w:rsid w:val="4F552460"/>
    <w:rsid w:val="4FCC6863"/>
    <w:rsid w:val="500A214A"/>
    <w:rsid w:val="522D604D"/>
    <w:rsid w:val="5297585E"/>
    <w:rsid w:val="52AD7D6F"/>
    <w:rsid w:val="53703F81"/>
    <w:rsid w:val="54222183"/>
    <w:rsid w:val="5549519D"/>
    <w:rsid w:val="5557596B"/>
    <w:rsid w:val="56193CA6"/>
    <w:rsid w:val="579730CB"/>
    <w:rsid w:val="5ACB4167"/>
    <w:rsid w:val="5B596DFC"/>
    <w:rsid w:val="5B910414"/>
    <w:rsid w:val="5DA90D86"/>
    <w:rsid w:val="5DF03945"/>
    <w:rsid w:val="5FF70FF5"/>
    <w:rsid w:val="637C2815"/>
    <w:rsid w:val="64C816DE"/>
    <w:rsid w:val="67380427"/>
    <w:rsid w:val="675B5D00"/>
    <w:rsid w:val="6AA03EED"/>
    <w:rsid w:val="6F270A8F"/>
    <w:rsid w:val="72E217FF"/>
    <w:rsid w:val="742822EF"/>
    <w:rsid w:val="7559139C"/>
    <w:rsid w:val="76754CC8"/>
    <w:rsid w:val="76BB1F26"/>
    <w:rsid w:val="79A4632C"/>
    <w:rsid w:val="79F30B89"/>
    <w:rsid w:val="7A1B582F"/>
    <w:rsid w:val="7A353D0B"/>
    <w:rsid w:val="7B547823"/>
    <w:rsid w:val="7D3A5E2F"/>
    <w:rsid w:val="7DFD0528"/>
    <w:rsid w:val="7EFF0B7A"/>
    <w:rsid w:val="AD5E5EC0"/>
    <w:rsid w:val="B7FF030F"/>
    <w:rsid w:val="BBCBDAE0"/>
    <w:rsid w:val="BEF6019D"/>
    <w:rsid w:val="BFA74874"/>
    <w:rsid w:val="CFFEA9FA"/>
    <w:rsid w:val="DEDDAA57"/>
    <w:rsid w:val="DFAF2C14"/>
    <w:rsid w:val="ECFEA5FF"/>
    <w:rsid w:val="F5D92957"/>
    <w:rsid w:val="FB89F579"/>
    <w:rsid w:val="FF7D476B"/>
    <w:rsid w:val="FFBFA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link w:val="56"/>
    <w:unhideWhenUsed/>
    <w:qFormat/>
    <w:uiPriority w:val="99"/>
    <w:pPr>
      <w:jc w:val="left"/>
    </w:pPr>
  </w:style>
  <w:style w:type="paragraph" w:styleId="13">
    <w:name w:val="Body Text"/>
    <w:basedOn w:val="1"/>
    <w:next w:val="14"/>
    <w:qFormat/>
    <w:uiPriority w:val="0"/>
    <w:pPr>
      <w:spacing w:after="120"/>
    </w:pPr>
  </w:style>
  <w:style w:type="paragraph" w:styleId="14">
    <w:name w:val="header"/>
    <w:basedOn w:val="1"/>
    <w:next w:val="13"/>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2"/>
    <w:semiHidden/>
    <w:unhideWhenUsed/>
    <w:qFormat/>
    <w:uiPriority w:val="99"/>
    <w:rPr>
      <w:sz w:val="18"/>
      <w:szCs w:val="18"/>
    </w:rPr>
  </w:style>
  <w:style w:type="paragraph" w:styleId="17">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8">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19">
    <w:name w:val="annotation subject"/>
    <w:basedOn w:val="12"/>
    <w:next w:val="12"/>
    <w:link w:val="57"/>
    <w:semiHidden/>
    <w:unhideWhenUsed/>
    <w:qFormat/>
    <w:uiPriority w:val="99"/>
    <w:rPr>
      <w:b/>
      <w:bCs/>
    </w:rPr>
  </w:style>
  <w:style w:type="paragraph" w:styleId="20">
    <w:name w:val="Body Text First Indent"/>
    <w:basedOn w:val="13"/>
    <w:qFormat/>
    <w:uiPriority w:val="0"/>
    <w:pPr>
      <w:spacing w:after="0"/>
      <w:ind w:firstLine="200" w:firstLineChars="200"/>
    </w:pPr>
  </w:style>
  <w:style w:type="paragraph" w:styleId="21">
    <w:name w:val="Body Text First Indent 2"/>
    <w:basedOn w:val="15"/>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styleId="26">
    <w:name w:val="annotation reference"/>
    <w:basedOn w:val="23"/>
    <w:unhideWhenUsed/>
    <w:qFormat/>
    <w:uiPriority w:val="99"/>
    <w:rPr>
      <w:sz w:val="21"/>
      <w:szCs w:val="21"/>
    </w:rPr>
  </w:style>
  <w:style w:type="character" w:customStyle="1" w:styleId="27">
    <w:name w:val="标题 1 字符"/>
    <w:basedOn w:val="23"/>
    <w:link w:val="3"/>
    <w:qFormat/>
    <w:uiPriority w:val="9"/>
    <w:rPr>
      <w:rFonts w:asciiTheme="majorHAnsi" w:hAnsiTheme="majorHAnsi" w:eastAsiaTheme="majorEastAsia"/>
      <w:b/>
      <w:bCs/>
      <w:kern w:val="32"/>
      <w:sz w:val="32"/>
      <w:szCs w:val="32"/>
    </w:rPr>
  </w:style>
  <w:style w:type="character" w:customStyle="1" w:styleId="28">
    <w:name w:val="标题 2 字符"/>
    <w:basedOn w:val="23"/>
    <w:link w:val="4"/>
    <w:semiHidden/>
    <w:qFormat/>
    <w:uiPriority w:val="9"/>
    <w:rPr>
      <w:rFonts w:asciiTheme="majorHAnsi" w:hAnsiTheme="majorHAnsi" w:eastAsiaTheme="majorEastAsia"/>
      <w:b/>
      <w:bCs/>
      <w:i/>
      <w:iCs/>
      <w:sz w:val="28"/>
      <w:szCs w:val="28"/>
    </w:rPr>
  </w:style>
  <w:style w:type="character" w:customStyle="1" w:styleId="29">
    <w:name w:val="标题 3 字符"/>
    <w:basedOn w:val="23"/>
    <w:link w:val="5"/>
    <w:semiHidden/>
    <w:qFormat/>
    <w:uiPriority w:val="9"/>
    <w:rPr>
      <w:rFonts w:asciiTheme="majorHAnsi" w:hAnsiTheme="majorHAnsi" w:eastAsiaTheme="majorEastAsia"/>
      <w:b/>
      <w:bCs/>
      <w:sz w:val="26"/>
      <w:szCs w:val="26"/>
    </w:rPr>
  </w:style>
  <w:style w:type="character" w:customStyle="1" w:styleId="30">
    <w:name w:val="标题 4 字符"/>
    <w:basedOn w:val="23"/>
    <w:link w:val="6"/>
    <w:semiHidden/>
    <w:qFormat/>
    <w:uiPriority w:val="9"/>
    <w:rPr>
      <w:b/>
      <w:bCs/>
      <w:sz w:val="28"/>
      <w:szCs w:val="28"/>
    </w:rPr>
  </w:style>
  <w:style w:type="character" w:customStyle="1" w:styleId="31">
    <w:name w:val="标题 5 字符"/>
    <w:basedOn w:val="23"/>
    <w:link w:val="7"/>
    <w:semiHidden/>
    <w:qFormat/>
    <w:uiPriority w:val="9"/>
    <w:rPr>
      <w:b/>
      <w:bCs/>
      <w:i/>
      <w:iCs/>
      <w:sz w:val="26"/>
      <w:szCs w:val="26"/>
    </w:rPr>
  </w:style>
  <w:style w:type="character" w:customStyle="1" w:styleId="32">
    <w:name w:val="标题 6 字符"/>
    <w:basedOn w:val="23"/>
    <w:link w:val="8"/>
    <w:semiHidden/>
    <w:qFormat/>
    <w:uiPriority w:val="9"/>
    <w:rPr>
      <w:b/>
      <w:bCs/>
    </w:rPr>
  </w:style>
  <w:style w:type="character" w:customStyle="1" w:styleId="33">
    <w:name w:val="标题 7 字符"/>
    <w:basedOn w:val="23"/>
    <w:link w:val="9"/>
    <w:semiHidden/>
    <w:qFormat/>
    <w:uiPriority w:val="9"/>
    <w:rPr>
      <w:sz w:val="24"/>
      <w:szCs w:val="24"/>
    </w:rPr>
  </w:style>
  <w:style w:type="character" w:customStyle="1" w:styleId="34">
    <w:name w:val="标题 8 字符"/>
    <w:basedOn w:val="23"/>
    <w:link w:val="10"/>
    <w:semiHidden/>
    <w:qFormat/>
    <w:uiPriority w:val="9"/>
    <w:rPr>
      <w:i/>
      <w:iCs/>
      <w:sz w:val="24"/>
      <w:szCs w:val="24"/>
    </w:rPr>
  </w:style>
  <w:style w:type="character" w:customStyle="1" w:styleId="35">
    <w:name w:val="标题 9 字符"/>
    <w:basedOn w:val="23"/>
    <w:link w:val="11"/>
    <w:semiHidden/>
    <w:qFormat/>
    <w:uiPriority w:val="9"/>
    <w:rPr>
      <w:rFonts w:asciiTheme="majorHAnsi" w:hAnsiTheme="majorHAnsi" w:eastAsiaTheme="majorEastAsia"/>
    </w:rPr>
  </w:style>
  <w:style w:type="character" w:customStyle="1" w:styleId="36">
    <w:name w:val="标题 字符"/>
    <w:basedOn w:val="23"/>
    <w:link w:val="2"/>
    <w:qFormat/>
    <w:uiPriority w:val="10"/>
    <w:rPr>
      <w:rFonts w:asciiTheme="majorHAnsi" w:hAnsiTheme="majorHAnsi" w:eastAsiaTheme="majorEastAsia"/>
      <w:b/>
      <w:bCs/>
      <w:kern w:val="28"/>
      <w:sz w:val="32"/>
      <w:szCs w:val="32"/>
    </w:rPr>
  </w:style>
  <w:style w:type="character" w:customStyle="1" w:styleId="37">
    <w:name w:val="副标题 字符"/>
    <w:basedOn w:val="23"/>
    <w:link w:val="18"/>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3"/>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3"/>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3"/>
    <w:qFormat/>
    <w:uiPriority w:val="21"/>
    <w:rPr>
      <w:b/>
      <w:i/>
      <w:sz w:val="24"/>
      <w:szCs w:val="24"/>
      <w:u w:val="single"/>
    </w:rPr>
  </w:style>
  <w:style w:type="character" w:customStyle="1" w:styleId="46">
    <w:name w:val="不明显参考1"/>
    <w:basedOn w:val="23"/>
    <w:qFormat/>
    <w:uiPriority w:val="31"/>
    <w:rPr>
      <w:sz w:val="24"/>
      <w:szCs w:val="24"/>
      <w:u w:val="single"/>
    </w:rPr>
  </w:style>
  <w:style w:type="character" w:customStyle="1" w:styleId="47">
    <w:name w:val="明显参考1"/>
    <w:basedOn w:val="23"/>
    <w:qFormat/>
    <w:uiPriority w:val="32"/>
    <w:rPr>
      <w:b/>
      <w:sz w:val="24"/>
      <w:u w:val="single"/>
    </w:rPr>
  </w:style>
  <w:style w:type="character" w:customStyle="1" w:styleId="48">
    <w:name w:val="书籍标题1"/>
    <w:basedOn w:val="23"/>
    <w:qFormat/>
    <w:uiPriority w:val="33"/>
    <w:rPr>
      <w:rFonts w:asciiTheme="majorHAnsi" w:hAnsiTheme="majorHAnsi" w:eastAsiaTheme="majorEastAsia"/>
      <w:b/>
      <w:i/>
      <w:sz w:val="24"/>
      <w:szCs w:val="24"/>
    </w:rPr>
  </w:style>
  <w:style w:type="paragraph" w:customStyle="1" w:styleId="49">
    <w:name w:val="TOC 标题1"/>
    <w:basedOn w:val="3"/>
    <w:next w:val="1"/>
    <w:semiHidden/>
    <w:unhideWhenUsed/>
    <w:qFormat/>
    <w:uiPriority w:val="39"/>
    <w:pPr>
      <w:outlineLvl w:val="9"/>
    </w:pPr>
    <w:rPr>
      <w:lang w:eastAsia="en-US" w:bidi="en-US"/>
    </w:rPr>
  </w:style>
  <w:style w:type="character" w:customStyle="1" w:styleId="50">
    <w:name w:val="页眉 字符"/>
    <w:basedOn w:val="23"/>
    <w:link w:val="14"/>
    <w:qFormat/>
    <w:uiPriority w:val="99"/>
    <w:rPr>
      <w:rFonts w:ascii="Calibri" w:hAnsi="Calibri" w:eastAsia="宋体"/>
      <w:kern w:val="2"/>
      <w:sz w:val="18"/>
      <w:szCs w:val="18"/>
    </w:rPr>
  </w:style>
  <w:style w:type="character" w:customStyle="1" w:styleId="51">
    <w:name w:val="页脚 字符"/>
    <w:basedOn w:val="23"/>
    <w:link w:val="17"/>
    <w:qFormat/>
    <w:uiPriority w:val="99"/>
    <w:rPr>
      <w:rFonts w:ascii="Calibri" w:hAnsi="Calibri" w:eastAsia="宋体"/>
      <w:kern w:val="2"/>
      <w:sz w:val="18"/>
      <w:szCs w:val="18"/>
    </w:rPr>
  </w:style>
  <w:style w:type="character" w:customStyle="1" w:styleId="52">
    <w:name w:val="批注框文本 字符"/>
    <w:basedOn w:val="23"/>
    <w:link w:val="16"/>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character" w:customStyle="1" w:styleId="55">
    <w:name w:val="NormalCharacter"/>
    <w:qFormat/>
    <w:uiPriority w:val="0"/>
  </w:style>
  <w:style w:type="character" w:customStyle="1" w:styleId="56">
    <w:name w:val="批注文字 字符"/>
    <w:basedOn w:val="23"/>
    <w:link w:val="12"/>
    <w:qFormat/>
    <w:uiPriority w:val="99"/>
    <w:rPr>
      <w:kern w:val="2"/>
      <w:sz w:val="21"/>
      <w:szCs w:val="24"/>
    </w:rPr>
  </w:style>
  <w:style w:type="character" w:customStyle="1" w:styleId="57">
    <w:name w:val="批注主题 字符"/>
    <w:basedOn w:val="56"/>
    <w:link w:val="19"/>
    <w:semiHidden/>
    <w:qFormat/>
    <w:uiPriority w:val="99"/>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1290</Words>
  <Characters>7358</Characters>
  <Lines>61</Lines>
  <Paragraphs>17</Paragraphs>
  <TotalTime>49</TotalTime>
  <ScaleCrop>false</ScaleCrop>
  <LinksUpToDate>false</LinksUpToDate>
  <CharactersWithSpaces>8631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2020-07-08T16:35:00Z</dcterms:created>
  <dc:creator>赵 恺（预算处）</dc:creator>
  <cp:lastModifiedBy>yjj20</cp:lastModifiedBy>
  <cp:lastPrinted>2021-10-13T12:54:00Z</cp:lastPrinted>
  <dcterms:modified xsi:type="dcterms:W3CDTF">2024-04-01T10:20:18Z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331DD2A8E8424E90913552218C6E4356_13</vt:lpwstr>
  </property>
</Properties>
</file>